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внесении изменений и дополнений в решение Думы муниципальных образований «О бюджете поселения на 2019 год и плановый период 2020 и 2021 годов»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10.07.2019 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17.07.2019 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23.07.2019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12.09.2019 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16.09.2019 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Установлены отдельные замечания к приложениям проекта решения, а также к отдельным показателям подпрограмм муниципальной программы.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27.09.2019 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к проекту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30.09.2019 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к проекту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30.09.2019 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  Замечания к проекту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10.10.2019 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внесенииизменений и дополнений в решение Думы «О бюджете муниципального образования на 2019 год и плановый период 2020 и 2021 годов». Замечания к проекту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21.10.2019 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к проекту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24.10.2019 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к проекту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24.10.2019 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к проекту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25.10.2019 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Заключении отмечалось о необходимости уточнения объема межбюджетных трансфертов.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25.10.2019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28.10.2019 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Заключении отмечались отдельные замечания к текстовым показателям проекта решения и его приложений.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28.10.2019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Заключении отмечались отдельные замечания к текстовым показателям проекта решения и его приложений, а также замечания к показателям пояснительной записки, а именно отсутствие экономического содержания предлагаемых изменений.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29.10.2019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30.10.2019 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Заключении отмечались отдельные замечания к текстовым показателям проекта решения и его приложений.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06.11.2019 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в ходе проведения экспертизы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Установлены замечания в части несоответствия отдельных данных проекта решения пояснительной записке.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Дума о внесении изменений и дополнений в решение Думы «О бюджете муниципального образования на 2019 год и плановый период 2020 и 2021 годов». Установлены замечания к отдельным показателям пояснительной записки.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13.11.2019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  Указывалось на необходимость уточнения распределения бюджетных ассигнований по мероприятиям в разделе 0409.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18.11.2019 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выявлено.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20.11.2019 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выявлено.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выявлено.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в ходе проведения экспертизы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ходе проведения экспертизы замечаний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В ходе проведения экспертизы замечаний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Установлены замечания к отдельным кодам бюджетной классификации по доходам и расходам.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Замечания к проекту решения не установлены.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26.12.2019 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Установлены замечания в части применения кода вида расхода на приобретение флеш-носителя, применялся 244, следовало 242.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27.12.2019 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к проекту решения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27.12.2019 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к проекту решения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30.12.2019 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к проекту решения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30.12.2019 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и дополнений в решение Думы «О бюджете муниципального образования на 2019 год и плановый период 2020 и 2021 годов».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color w:val="000000"/>
          <w:sz w:val="21"/>
          <w:szCs w:val="21"/>
        </w:rPr>
        <w:t> 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бюджете поселения на 2020 год и плановый период 2021 и 2022 годов»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В нарушение ст. 62 проектом бюджета муниципального образования предусмотрены доходы от земельных участков, государственная собственность на которые не разграничена (указанные доходы подлежат зачислению в районный бюджет по нормативу 100%). Установлены замечания к отдельным показателям текстовой части бюджета и его приложениям, пояснительной записке и муниципальной программой.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установлены замечания к отдельным текстовым показателям и кодам бюджетной классификации проекта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установлены замечания к отдельным текстовым показателям и кодам бюджетной классификации проекта бюджета, ч. 2 ст. 172 БК РФ в части не соответствия данных Прогноза по доходам проекту бюджета. Предлагалось уточнить отдельные показатели проекта решения и приложений к нему, пояснительной записки.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параметрами. Установлены замечания к отдельным текстовым показателям и кодам бюджетной классификации проекта бюджета, пояснительной записки.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также отсутствуют показатели доходного потенциала. Установлены замечания к отдельным текстовым показателям и кодам бюджетной классификации проекта бюджета (уточнить код целевой статьи расхода), пояснительной записки.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ч. 2 ст. 172 БК РФ в части не соответствия данных Прогноза по доходам проекту бюджета. Установлены замечания к отдельным показателям текстовой части и кодам бюджетной классификации (уточнить коды видов дохода) проекта </w:t>
      </w:r>
      <w:r w:rsidRPr="002B5AA5">
        <w:rPr>
          <w:rFonts w:ascii="Palatino Linotype" w:hAnsi="Palatino Linotype"/>
          <w:color w:val="000000"/>
          <w:sz w:val="21"/>
          <w:szCs w:val="21"/>
        </w:rPr>
        <w:lastRenderedPageBreak/>
        <w:t>бюджета.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 4 ст. 173 БК РФ в части отсутствия в пояснительной записке обоснований параметров прогноза и сопоставление с ранее утвержденными параметрами, ч. 2 ст. 172 БК РФ в части не соответствия данных Прогноза по доходам проекту бюджета. Установлены замечания к отдельным показателям текстовой части проекта бюджета.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параметрами, ч. 2 ст. 172 БК РФ в части не соответствия данных Прогноза по доходам проекту бюджета. Установлены замечания к отдельным показателям текстовой части проекта бюджета.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замечания к отдельным показателям приложений к проекту бюджета в части уточнения распределения софинанирования по бюджетной классификации, а также отдельных несоответствий между приложениями проекта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параметрами. Установлены отдельные замечания к показателям проекта бюджета  в части уточнения кода вида расходов по капитальному ремонту.   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параметрами. Установлены отдельные замечания к показателям проекта бюджета  в части уточнения объема дотации с районного бюджета, несоответствия отдельных данных между приложениями проекта бюджета. Также установлены замечания к отдельным показателям пояснительной записки.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В нарушение ст. 184.2 не представлен прогноз социально-экономического развития. Предлагалось уточнить доходы по дотациям с районного бюджета, объемы бюджетных ассигнований по ВУСу.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10.12.2019 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параметрами. Установлены замечания к отдельным показателям проекта бюджета.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10.12.2019 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замечания к отдельным показателям проекта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10.12.2019 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2020 год и плановый период 2021 и 2022 годов». Установлены нарушения ч.4 ст. 173 БК РФ в части отсутствия в пояснительной записке обоснований параметров прогноза и сопоставление с ранее утвержденными параметрами. Установлены замечания к отдельным показателям проекта бюджета, в части уточнения объема дотаций с районного бюджета, отсутствия или уточнения кодов бюджетной классификации. В нарушение ч. 2 ст. 87 БК РФ реестр расходных обязательств не содержит свод (перечень)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color w:val="000000"/>
          <w:sz w:val="21"/>
          <w:szCs w:val="21"/>
        </w:rPr>
        <w:t> 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color w:val="000000"/>
          <w:sz w:val="21"/>
          <w:szCs w:val="21"/>
        </w:rPr>
        <w:t> 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i/>
          <w:iCs/>
          <w:color w:val="000000"/>
          <w:sz w:val="21"/>
          <w:szCs w:val="21"/>
        </w:rPr>
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образований района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color w:val="000000"/>
          <w:sz w:val="21"/>
          <w:szCs w:val="21"/>
        </w:rPr>
        <w:t> 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08.07.2019 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о внесении изменений в положение по оплате труда казенного учреждения. В итоговом заключении представлен анализ последних изменений в положение, также установлены противоречия отдельных пунктов положения действующему законодательству и самому положению.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05.08.2019 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в положение об оплате труда главы муниципального образования. В заключении отмечалось, что в силу абз. 2 пункта 8 Нормативов, утвержденных Постановлением правительства Иркутской области от 27.11.2014г. № 599-пп годовой норматив определяется на очередной финансовый год и не подлежит корректировки в течение года, на который определен.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12.09.2019 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об утверждении положения об оплате труда муниципальных служащих в Малышевском муниципальном образовании. По результатам проведенной экспертизы указывалось, что в положении содержаться ссылки на утратившие силу законы Иркутской области, несоответствия в размере материальной помощи отдельным пунктам Положения об оплате труда.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12.09.2019 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муниципального образования об оплате труда работников, замещающих должности, не являющиеся должностями муниципальной службы и вспомогательного персонала. Установлены отдельные замечания к несоответствию между собой отдельных пунктов положения.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12.09.2019 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и дополнений в решение Думы об оплате труда главы муниципального образования. В итоговом заключении отмечалось, что составляющие заработной платы выражены формулами, предлагалось утвердить в суммовом выражении. Также указывалось, что в нарушение ст. 83 части 2 БК РФ проект решения не содержит ссылку на наличие соответствующих источников дополнительных поступлений 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12.09.2019 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об оплате труда главы администрации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 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в положение об оплате труда главы администрации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 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в положение об оплате труда главы администрации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об оплате труда главы администрации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 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 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в положение об оплате труда муниципальных служащих.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13.09.2019  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муниципального образования о внесении изменений и дополнений в положение об оплате труда главы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о внесении изменений в положение об оплате труда муниципальных служащих. В заключении отмечалось о несоответствии требованиям закона Иркутской области № 89-оз, постановления губернатора Иркутской области № 536-п.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постановления администрации о внесении изменений и дополнений в положение об оплате труда работников, замещающих </w:t>
      </w:r>
      <w:r w:rsidRPr="002B5AA5">
        <w:rPr>
          <w:rFonts w:ascii="Palatino Linotype" w:hAnsi="Palatino Linotype"/>
          <w:color w:val="000000"/>
          <w:sz w:val="21"/>
          <w:szCs w:val="21"/>
        </w:rPr>
        <w:lastRenderedPageBreak/>
        <w:t>должности, не являющиеся должностями муниципальной службы, и вспомогательного персонала.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23.09.2019 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муниципального образования о внесении изменений и дополнений в положение об оплате труда главы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23.09.2019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муниципального образования о внесении изменений и дополнений в положение об оплате труда главы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23.09.2019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муниципального образования о внесении изменений и дополнений в положение об оплате труда главы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23.09.2019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муниципального образования о внесении изменений и дополнений в положение об оплате труда главы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21.10.2019 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муниципальногообразования «О порядке выплаты единовременного денежного вознаграждения при выходе на трудовую пенсию муниципальным служащим муниципального образования Малышевское сельское поселение». В ходе проведения экспертизы было установлено, что представленным проектом предусматривалось единовременное денежное поощрение при выходе муниципальных служащих на трудовую пенсию. Указанные нормы проекта нарушают требования Закона Иркутской области № 88-оз, в той части, что установлена выплата единовременного поощрения в связи с выходом на пенсию за выслугу лет. Также установлены и другие нарушения норм Закона Иркутской области № 88-оз. В итоговом заключении указывалось на необходимость доработки проекта в соответствии с нормами Закона Иркутской области № 88-оз.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25.10.2019 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отмечалось, что изложенные замечания в выданном Заключении ранее устранены.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25.10.2019 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на необходимость изменения наименования квартальной премии, в соответствии с Законом Иркутской области следует указывать премия за выполнение особо важных и сложных заданий.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о внесении изменений в положение об оплате труда муниципальных служащих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 Также отмечались замечания к отдельным выплатам, предусмотренным штатным расписанием.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итоговом заключении указывалось, что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 Также отмечались замечания к отдельным выплатам, предусмотренным проектом положения.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итоговом заключении предлагалось уточнить наименование проекта решения, исключить правовые акты Иркутской области, как не действующие на момент рассмотрения проекта, уточнить наименование надбавок в соответствии с Законом Иркутской области № 88-оз, размеры должностных окладов устанавливаются в нарушение соотношения должностей муниципальной службы и гражданской службы, оклады за классный чин приведены в нарушение Указа Губернатора Иркутской области от 25.10.2019г. № 256-уг. Также установлены замечания к отдельным расчетам в штатном расписании.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 Также отмечались замечания к отдельным выплатам, предусмотренным проектом штатного расписания.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Указывалось на исключение ссылок на правовые акты Иркутской области как утративших силу, оклады за классные чины установить в соответствии с нормами Указа Губернатора Иркутской области № 256-уг. Также установлены замечания  к достоверности расчетов в проекте штатного расписания.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14.11.2019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исключение отдельных пунктов, предусматривающих признание утративших силу правовых актов Иркутской области, уточнить  размеры должностных окладов устанавливаются в нарушение соотношения должностей муниципальной службы и гражданской службы, уточнить расчет материальной помощи в проекте штатного расписания.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14.11.2019</w:t>
      </w:r>
      <w:r w:rsidRPr="002B5AA5">
        <w:rPr>
          <w:rFonts w:ascii="Palatino Linotype" w:hAnsi="Palatino Linotype"/>
          <w:color w:val="000000"/>
          <w:sz w:val="21"/>
          <w:szCs w:val="21"/>
        </w:rPr>
        <w:t xml:space="preserve">  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об исключении ссылок на недействующие правовые акты Иркутской области, уточнить расчет финансово-экономического обоснования. В нарушение </w:t>
      </w:r>
      <w:r w:rsidRPr="002B5AA5">
        <w:rPr>
          <w:rFonts w:ascii="Palatino Linotype" w:hAnsi="Palatino Linotype"/>
          <w:color w:val="000000"/>
          <w:sz w:val="21"/>
          <w:szCs w:val="21"/>
        </w:rPr>
        <w:lastRenderedPageBreak/>
        <w:t>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15.11.2019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решение Думы «О системе налогообложения в виде единого налога на вмененный доход для отдельных видов деятельности». Замечания в ходе проведения экспертизы не выявлены.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15.11.2019 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об исключении ссылок на недействующие правовые акты Иркутской области, уточнить расчет отдельных надбавок в проекте штатного расписания.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18.11.2019 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об исключении ссылок на недействующие правовые акты Иркутской области, уточнить расчет отдельных надбавок в проекте штатного расписания, размер ЕДП установить в фиксированном виде, надбавки за классный чин привести в соответствие с Указом Губернатора Иркутской области № 256-уг.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18.11.2019 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на размер ЕДП – установить в фиксированном виде.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20.11.2019 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на устранение ссылок на правовые акты Иркутской области, которые утратили силу, дополнить проект решения размерами надбавок за классный чин 2 и 1 класса, а также уточнить данные «годовой фонд» в проекте штатного расписания.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21.11.2019 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об исключении ссылок на недействующие правовые акты Иркутской области, надбавки за классный чин привести в соответствие с Указом Губернатора Иркутской области № 256-уг, уточнить наименование премии в соответствии с нормами ст. 10 Закона Иркутской области № 88-оз.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02.12.2019 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дополнить проект положения размерами надбавок за классный чин, уточнить наименование премии. Выявлено нарушения в части установления размеров надбавки за особые условия в превышающем объеме, установленном Законом Иркутской области № 2-оз.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16.12.2019</w:t>
      </w:r>
      <w:r w:rsidRPr="002B5AA5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постановления Мэра района «Об утверждении Положения об отдельных вопросах организации и проведения официальных мероприятий </w:t>
      </w:r>
      <w:r w:rsidRPr="002B5AA5">
        <w:rPr>
          <w:rFonts w:ascii="Palatino Linotype" w:hAnsi="Palatino Linotype"/>
          <w:color w:val="000000"/>
          <w:sz w:val="21"/>
          <w:szCs w:val="21"/>
        </w:rPr>
        <w:lastRenderedPageBreak/>
        <w:t>и официальных приемов, обслуживание делегаций и отдельных лиц в Усть-Удинском районе». В итоговом заключении отмечалось, что к проекту постановления не представлены обоснования экономической необходимости включаемых в проект мероприятий, также отсутствуют финансово-экономические обоснования предельных (нормативных) расходов.  В нарушение ст. 83 части 2 БК РФ проект решения не содержит ссылку на наличие соответствующих источников дополнительных поступлений в бюджет, либо сокращение бюджетных ассигнований по отдельным статьям расходов бюджета.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19.12.2019 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муниципальных служащих муниципального образования. В заключении указывалось на уточнение отдельных текстовых замечаний в проекте решения.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23.12.2019 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о внесении изменений в положение об оплате труда главы муниципального образования. Замечаний в ходе проведения экспертизы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25.12.2019 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муниципального образования. Замечаний к проекту постановления не установлено.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color w:val="000000"/>
          <w:sz w:val="21"/>
          <w:szCs w:val="21"/>
        </w:rPr>
        <w:t> 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муниципальных программ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22.10.2019 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программы«Комплексное развитие сельских территорий на период 2020-2025 годов». Установлены замечания в части несоответствия основных мероприятий в паспорте соответствующему разделу программы, отсутствие методики эффективности, отсутствуют приложения, предусмотренные Порядком, отсутствуют согласования, предусмотренные Порядком и другие нарушения.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31.10.2019 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«Молодежная политика» на 2020-2024 годы. Установлены несоответствия задач муниципальной программы задачам подпрограммы, целевые показатели муниципальной программы не отвечают требованиям адекватности в части прогресса достижения цели, отсутствует взаимосвязь целевых показателей между муниципальной программой и подпрограммами и другие замечания.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31.10.2019 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«Комплексные меры профилактики злоупотребления наркотическими средствами, токсическими и психотропными веществами, профилактики распространения ВИЧ-инфекций и других социально-негативных явлений» на 2020-2024 годы. Установлены несоответствия ожидаемых конечных результатов между разделами и приложениями, отсутствие целевых показателей к предусмотренным мероприятиям, итоговый показатель достижения целевых показателей включает годы предшествующие периоду реализации программы.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07.11.2019  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«Профилактика правонарушений и безопасности дорожного движения на территории Усть-Удинского района». В заключении отмечались замечания в части несоответствия целевого показателя между разделами программы, не соответствует перечень основных мероприятий между программой и подпрограммой. Также отсутствует соответствующее согласование структурных подразделений администрации.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07.11.2019 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муниципальной программы «Организация летнего отдыха, занятости детей в Усть-Удинском районе» на 2020-2024 годы. Указывалось уточнить объем финансирования, уточнить количественное значение ожидаемого </w:t>
      </w:r>
      <w:r w:rsidRPr="002B5AA5">
        <w:rPr>
          <w:rFonts w:ascii="Palatino Linotype" w:hAnsi="Palatino Linotype"/>
          <w:color w:val="000000"/>
          <w:sz w:val="21"/>
          <w:szCs w:val="21"/>
        </w:rPr>
        <w:lastRenderedPageBreak/>
        <w:t>результата. Установлены отдельные замечания к текстовым показателям проекта программы, а также отсутствие соответствующих согласований структурными подразделениями администрации.</w:t>
      </w:r>
    </w:p>
    <w:p w:rsidR="002B5AA5" w:rsidRPr="002B5AA5" w:rsidRDefault="002B5AA5" w:rsidP="002B5AA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B5AA5">
        <w:rPr>
          <w:rFonts w:ascii="Palatino Linotype" w:hAnsi="Palatino Linotype"/>
          <w:b/>
          <w:bCs/>
          <w:color w:val="000000"/>
          <w:sz w:val="21"/>
          <w:szCs w:val="21"/>
        </w:rPr>
        <w:t>07.11.2019 </w:t>
      </w:r>
      <w:r w:rsidRPr="002B5AA5">
        <w:rPr>
          <w:rFonts w:ascii="Palatino Linotype" w:hAnsi="Palatino Linotype"/>
          <w:color w:val="000000"/>
          <w:sz w:val="21"/>
          <w:szCs w:val="21"/>
        </w:rPr>
        <w:t>Проведена экспертиза проекта муниципальной программы «Социальная поддержка отдельных категорий граждан на территории Усть-Удинского района» на 2020-2024 годы. Установлены замечания к отдельным текстовым показателям муниципальной программы, а также отсутствие соответствующих согласований структурными подразделениями администрации.</w:t>
      </w:r>
    </w:p>
    <w:p w:rsidR="003E0016" w:rsidRPr="002B5AA5" w:rsidRDefault="003E0016" w:rsidP="002B5AA5">
      <w:bookmarkStart w:id="0" w:name="_GoBack"/>
      <w:bookmarkEnd w:id="0"/>
    </w:p>
    <w:sectPr w:rsidR="003E0016" w:rsidRPr="002B5AA5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B5AA5"/>
    <w:rsid w:val="002E1509"/>
    <w:rsid w:val="002E3581"/>
    <w:rsid w:val="003C7988"/>
    <w:rsid w:val="003E0016"/>
    <w:rsid w:val="003F5514"/>
    <w:rsid w:val="00426B7F"/>
    <w:rsid w:val="00525A60"/>
    <w:rsid w:val="005404D5"/>
    <w:rsid w:val="00566A93"/>
    <w:rsid w:val="00603816"/>
    <w:rsid w:val="00683D8C"/>
    <w:rsid w:val="006F70CC"/>
    <w:rsid w:val="00797E06"/>
    <w:rsid w:val="00AB3B44"/>
    <w:rsid w:val="00B30CFA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5571</Words>
  <Characters>31761</Characters>
  <Application>Microsoft Office Word</Application>
  <DocSecurity>0</DocSecurity>
  <Lines>264</Lines>
  <Paragraphs>74</Paragraphs>
  <ScaleCrop>false</ScaleCrop>
  <Company>diakov.net</Company>
  <LinksUpToDate>false</LinksUpToDate>
  <CharactersWithSpaces>37258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2021-08-10T02:26:00Z</dcterms:created>
  <dcterms:modified xsi:type="dcterms:W3CDTF">2021-08-10T02:58:00Z</dcterms:modified>
</cp:coreProperties>
</file>