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661" w:rsidRPr="00415661" w:rsidRDefault="00415661" w:rsidP="00415661">
      <w:pPr>
        <w:shd w:val="clear" w:color="auto" w:fill="F3F5FC"/>
        <w:spacing w:line="315" w:lineRule="atLeast"/>
        <w:ind w:left="105" w:right="105" w:firstLine="375"/>
        <w:jc w:val="center"/>
        <w:rPr>
          <w:rFonts w:ascii="Palatino Linotype" w:hAnsi="Palatino Linotype"/>
          <w:color w:val="000000"/>
          <w:sz w:val="21"/>
          <w:szCs w:val="21"/>
        </w:rPr>
      </w:pPr>
      <w:r w:rsidRPr="00415661">
        <w:rPr>
          <w:rFonts w:ascii="Palatino Linotype" w:hAnsi="Palatino Linotype"/>
          <w:i/>
          <w:iCs/>
          <w:color w:val="000000"/>
          <w:sz w:val="21"/>
          <w:szCs w:val="21"/>
        </w:rPr>
        <w:t>Экспертиза проектов решений «О внесении изменений и дополнений в решение Думы муниципальных образований «О бюджете муниципального образования на 2021 год и плановый период 2022 и 2023 годов»</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19.01.2021 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установлено замечание к проекту решения, а именно исключить информацию об основных характеристиках бюджета (доходы, расходы, дефицит), поскольку они не изменяются.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26.01.2021 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установлены замечания к проекту решения, а именно предусмотреть в решении основные показатели по доходам, расходам и дефициту. В приложении уточнить показатель источники внутреннего финансирования. В части распределения средств отмечались замечания к бюджетным ассигнованиям за тех.поддержку сайта КДЦ в объеме 10 тыс. рублей, а именно сайт не ведется, последняя запись сделана 01.01.2020г. Отмечалось о необходимости принятия мер по ведению сайта в целях исключения неэффективного использования бюджетных средств.</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01.02.2021 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замечаний не установлено.</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05.02.2021 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установлены замечания к отдельным текстовым показателям приложения к проекту решения.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15.02.2021 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По результатам экспертизы указывалось, что проект решения необходимо дополнить формулировкой, что в силу ст. 92.1 БК РФ превышение дефицита осуществлено в пределах суммы снижения остатков средств на счете, и дефицит без указанных сумм составит 0 тыс. рублей или 0%.</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15.02.2021 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По результатам экспертизы проекта предлагалось уточнить отдельные текстовые показатели.</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16.02.2021 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замечаний не установлено.</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01.03.2021 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Заключении по результатам экспертизы отмечались замечания о соблюдении п. 48.2.4.2. Порядка № 85н.</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lastRenderedPageBreak/>
        <w:t>01.03.2021 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установлено замечание в части отсутствия информации в решении о дефиците в процентах.</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15.03.2021 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Установлены замечания к кодам бюджетной классификации в приложениях № 1 и № 3 к проекту решения.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15.03.2021 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Заключении отмечались замечания к кодам бюджетной классификации по доходам.</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15.03.2021 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заключении отмечались замечания к объему межбюджетного трансферта в п. 1 проекта решения, а также к объему остатка средств.</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17.03.2021 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замечаний не установлено.</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24.03.2021 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замечаний не установлено.</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24.03.2021 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замечаний не установлено.</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19.04.2021 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установлены замечания к проекту решения в части уточнения предельного объема муниципального долга, а также к отдельным показателям приложений к проекту решения, а именно: уточнить КЦСР, уточнить объем БА, уточнить распределение по кодам видам расходов. Также установлены отдельные замечания к пояснительной записке.</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19.04.2021 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Заключении отмечалось замечание о несоответствии отдельных показателей между приложениями № 5 и № 7.</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27.04.2021 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По результатам экспертизы предлагалось исключить информацию об основных характеристиках, поскольку представленным проектом они не изменяются.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lastRenderedPageBreak/>
        <w:t>21.05.2021 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замечаний не установлено.</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01.06.2021 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По результатам экспертизы предлагалось исключить информацию об основных характеристиках, а также Приложение № 1, поскольку представленным проектом они не изменяются.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11.06.2021 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замечаний не установлено.</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22.06.2021 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замечаний не установлено.</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23.06.2021 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замечаний не установлено.</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24.06.2021 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В ходе проведения экспертизы замечаний не установлено.</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30.06.2021 </w:t>
      </w:r>
      <w:r w:rsidRPr="00415661">
        <w:rPr>
          <w:rFonts w:ascii="Palatino Linotype" w:hAnsi="Palatino Linotype"/>
          <w:color w:val="000000"/>
          <w:sz w:val="21"/>
          <w:szCs w:val="21"/>
        </w:rPr>
        <w:t>Проведена экспертиза проекта решения Думы муниципального образования «О внесении изменений и дополнений в решение Думы «О бюджете муниципального образования на 2021 год и плановый период 2022 и 2023 годов»». Установлены замечания к отдельным строкам Приложения № 11 к проекту решения в части уточнения кода вида расхода.</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color w:val="000000"/>
          <w:sz w:val="21"/>
          <w:szCs w:val="21"/>
        </w:rPr>
        <w:t> </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color w:val="000000"/>
          <w:sz w:val="21"/>
          <w:szCs w:val="21"/>
        </w:rPr>
        <w:t> </w:t>
      </w:r>
    </w:p>
    <w:p w:rsidR="00415661" w:rsidRPr="00415661" w:rsidRDefault="00415661" w:rsidP="00415661">
      <w:pPr>
        <w:shd w:val="clear" w:color="auto" w:fill="F3F5FC"/>
        <w:spacing w:line="315" w:lineRule="atLeast"/>
        <w:ind w:left="105" w:right="105" w:firstLine="375"/>
        <w:jc w:val="center"/>
        <w:rPr>
          <w:rFonts w:ascii="Palatino Linotype" w:hAnsi="Palatino Linotype"/>
          <w:color w:val="000000"/>
          <w:sz w:val="21"/>
          <w:szCs w:val="21"/>
        </w:rPr>
      </w:pPr>
      <w:r w:rsidRPr="00415661">
        <w:rPr>
          <w:rFonts w:ascii="Palatino Linotype" w:hAnsi="Palatino Linotype"/>
          <w:i/>
          <w:iCs/>
          <w:color w:val="000000"/>
          <w:sz w:val="21"/>
          <w:szCs w:val="21"/>
        </w:rPr>
        <w:t>Внешняя проверка годового отчета об исполнении бюджета муниципального образования за 2020 год и подготовка заключения на годовой отчет об исполнении бюджета</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24.03.2021 </w:t>
      </w:r>
      <w:r w:rsidRPr="00415661">
        <w:rPr>
          <w:rFonts w:ascii="Palatino Linotype" w:hAnsi="Palatino Linotype"/>
          <w:color w:val="000000"/>
          <w:sz w:val="21"/>
          <w:szCs w:val="21"/>
        </w:rPr>
        <w:t>Проведена экспертиза проекта решения Думы «Об исполнении бюджета муниципального образования за 2020 год» и внешняя проверка отчета об исполнении бюджета. Установлены замечания к отдельным формам годовой отчетности в части не соответствия показателей между формами, нарушения п. 72.1 Инструкции № 191н, форма таблицы № 1 не соответствует утвержденной, форма 0503161 утратила силу. Также установлены замечания к приложениям проекта решения, а именно в нарушение ст. 264.6 БК РФ отсутствует приложение  по ведомственной структуре расходов, отдельные показатели приложения № 1 не соответствую утвержденному решению, в приложении № 3 уточнить КЦСР по разделу «Культура», дородный фонд использован в нарушение ст. 179.4 БК РФ и другие замечания.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24.03.2021 </w:t>
      </w:r>
      <w:r w:rsidRPr="00415661">
        <w:rPr>
          <w:rFonts w:ascii="Palatino Linotype" w:hAnsi="Palatino Linotype"/>
          <w:color w:val="000000"/>
          <w:sz w:val="21"/>
          <w:szCs w:val="21"/>
        </w:rPr>
        <w:t xml:space="preserve">Проведена экспертиза проекта решения Думы «Об исполнении бюджета муниципального образования за 2020 год» и внешняя проверка отчета об исполнении </w:t>
      </w:r>
      <w:r w:rsidRPr="00415661">
        <w:rPr>
          <w:rFonts w:ascii="Palatino Linotype" w:hAnsi="Palatino Linotype"/>
          <w:color w:val="000000"/>
          <w:sz w:val="21"/>
          <w:szCs w:val="21"/>
        </w:rPr>
        <w:lastRenderedPageBreak/>
        <w:t>бюджета. Установлено нарушение п. 170.2 Инструкции № 191н к форме 0503175 в части отсутствия информации об экономии по заключению муниципального контракта.</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30.03.2021 </w:t>
      </w:r>
      <w:r w:rsidRPr="00415661">
        <w:rPr>
          <w:rFonts w:ascii="Palatino Linotype" w:hAnsi="Palatino Linotype"/>
          <w:color w:val="000000"/>
          <w:sz w:val="21"/>
          <w:szCs w:val="21"/>
        </w:rPr>
        <w:t>Проведена экспертиза проекта решения Думы «Об исполнении бюджета муниципального образования за 2020 год» и внешняя проверка отчета об исполнении бюджета. Установлены замечания к формам 0503184 и 0503184 в части уточнения кода главного администратора по доходам, 0503123 в части уточнения отдельных показателей по КОСГУ, 0503169 в части нарушения п. 167 Инструкции № 191н, 0503191 показатели не соответствуют главной книге.</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30.03.2021</w:t>
      </w:r>
      <w:r w:rsidRPr="00415661">
        <w:rPr>
          <w:rFonts w:ascii="Palatino Linotype" w:hAnsi="Palatino Linotype"/>
          <w:color w:val="000000"/>
          <w:sz w:val="21"/>
          <w:szCs w:val="21"/>
        </w:rPr>
        <w:t>Проведена экспертиза проекта решения Думы «Об исполнении бюджета муниципального образования за 2020 год» и внешняя проверка отчета об исполнении бюджета. Установлены замечания к формам 0503184 в части нарушения п. 49 Инструкции № 191н, 0503128 и 0503164 не соответствуют данные утвержденному бюджету по 0409, 0503166 уточнить КЦСР по отдельным мероприятиям, 0503168 не ведется имущество казны в нарушение п.3 ст. 9 Федерального закона № 402-ФЗ, п. 38 Инструкции № 162н, 0503169 не подтверждены показатели в нарушение п. 7 Инструкции № 191н. Также установлены замечания к приложениям проекта решения, а именно в приложении № 3 уточнить КЦСР по разделу 0409, в решении уточнить объем дефицита.</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02.04.2021 </w:t>
      </w:r>
      <w:r w:rsidRPr="00415661">
        <w:rPr>
          <w:rFonts w:ascii="Palatino Linotype" w:hAnsi="Palatino Linotype"/>
          <w:color w:val="000000"/>
          <w:sz w:val="21"/>
          <w:szCs w:val="21"/>
        </w:rPr>
        <w:t>Проведена экспертиза проекта решения Думы «Об исполнении бюджета муниципального образования за 2020 год» и внешняя проверка отчета об исполнении бюджета. Установлены замечания к формам 0503130 в части ведения забалансовых счетов,  0503121  нарушение п. 96 Инструкции № 191н, 0503127 в части кодов бюджетной классификации, а также распределение БА не соответствует утвержденному бюджету по разделам 0203 и 0401, таблица № 6 не представляется в составе документации если нет расхождений п. 158 Инструкции № 191, 0503164 указываются коды по которым есть отклонение п. 163 Инструкции № 191н, 0503169 не заполнена гр. 12, 13 в нарушение п. 167 Инструкции 191н, 0503175 нарушение п. 170.2 Инструкции № 191н. Также отмечались замечания к приложениям к проекту решения.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05.04.2021 </w:t>
      </w:r>
      <w:r w:rsidRPr="00415661">
        <w:rPr>
          <w:rFonts w:ascii="Palatino Linotype" w:hAnsi="Palatino Linotype"/>
          <w:color w:val="000000"/>
          <w:sz w:val="21"/>
          <w:szCs w:val="21"/>
        </w:rPr>
        <w:t>Проведена экспертиза проекта решения Думы «Об исполнении бюджета муниципального образования за 2020 год» и внешняя проверка отчета об исполнении бюджета. Установлены замечания к формам 0503127 уточнить коды главных администраторов доходов, ЛБО по разделу 0409, 0503166 уточнить данные пункта 1.</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09.04.2021 </w:t>
      </w:r>
      <w:r w:rsidRPr="00415661">
        <w:rPr>
          <w:rFonts w:ascii="Palatino Linotype" w:hAnsi="Palatino Linotype"/>
          <w:color w:val="000000"/>
          <w:sz w:val="21"/>
          <w:szCs w:val="21"/>
        </w:rPr>
        <w:t>Проведена экспертиза проекта решения Думы «Об исполнении бюджета муниципального образования за 2020 год» и внешняя проверка отчета об исполнении бюджета. Установлены замечания к формам 0503110 обороты по дебету не соответствует итоговому показателю в форме 0503121, 0503121 «расходы» не соответствует итоговому показателю формы 0503110, 0503184 уточнить показатели, 0503127 уточнить коды главных администраторов доходов, уточнить КЦСР в разделе 0503, заполнить источник финансирования дефицита, 0503128 раздел IIзаполнен в нарушение п. 72 Инструкции № 191н, раздел IIIзаполнен в нарушение п.72.1 Инструкции № 191н, таблица № 6 не представляется в составе документации если нет расхождений п. 158 Инструкции № 191н, 0503169 не заполнены графы 10, 12 в нарушение п. 167 Инструкции № 191н, 0503175 в нарушение п. 140 Инструкции № 162н.</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09.04.2021 </w:t>
      </w:r>
      <w:r w:rsidRPr="00415661">
        <w:rPr>
          <w:rFonts w:ascii="Palatino Linotype" w:hAnsi="Palatino Linotype"/>
          <w:color w:val="000000"/>
          <w:sz w:val="21"/>
          <w:szCs w:val="21"/>
        </w:rPr>
        <w:t xml:space="preserve">Проведена экспертиза проекта решения Думы «Об исполнении бюджета муниципального образования за 2020 год» и внешняя проверка отчета об исполнении бюджета. Установлены замечания к формам 0503128 раздел IIзаполнен в нарушение п. 72 Инструкции № 191н, таблица № 6 не представляется в составе документации если нет </w:t>
      </w:r>
      <w:r w:rsidRPr="00415661">
        <w:rPr>
          <w:rFonts w:ascii="Palatino Linotype" w:hAnsi="Palatino Linotype"/>
          <w:color w:val="000000"/>
          <w:sz w:val="21"/>
          <w:szCs w:val="21"/>
        </w:rPr>
        <w:lastRenderedPageBreak/>
        <w:t>расхождений п. 158 Инструкции № 191н, 0503164 указываются коды по которым есть отклонение п. 163 Инструкции № 191н, 0503169 не отражена задолженность по гр. 12 в нарушение п. 167 Инструкции № 191н, 0503175 в нарушение п. 140 Инструкции № 162н. Также установлено использование средств дорожного фонда в нарушение ст. 179.4 БК РФ.</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09.04.2021 </w:t>
      </w:r>
      <w:r w:rsidRPr="00415661">
        <w:rPr>
          <w:rFonts w:ascii="Palatino Linotype" w:hAnsi="Palatino Linotype"/>
          <w:color w:val="000000"/>
          <w:sz w:val="21"/>
          <w:szCs w:val="21"/>
        </w:rPr>
        <w:t>Проведена экспертиза проекта решения Думы «Об исполнении бюджета муниципального образования за 2020 год» и внешняя проверка отчета об исполнении бюджета. Установлены замечания к формам 0503127 уточнить код вида расхода, источник финансирования дефицита, 0503128 источники финансирования дефицита в нарушение п. 72 Инструкции № 191н, не заполнен раздел IIIв нарушение п. 72.1 Инструкции № 191н, 0503184 уточнить коды главных администраторов доходов, 0503161 и 0503163 утратили силу, таблица № 6 не представляется в составе документации если нет расхождений п. 158 Инструкции № 191н, 0503164 указываются коды по которым есть отклонение п. 163 Инструкции № 191н, 0503175 в нарушение п. 140 Инструкции № 162н, не заполнены графы в нарушение п. 170.2 Инструкции № 191н. Также установлены замечания в приложении № 3 к решению Думы по коду вида расхода в разделе 0503, не представлено Приложение № 4 к проекту решения. Использование средств дорожного фонда в нарушение ст. 179.4 БК РФ.</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12.04.2021 </w:t>
      </w:r>
      <w:r w:rsidRPr="00415661">
        <w:rPr>
          <w:rFonts w:ascii="Palatino Linotype" w:hAnsi="Palatino Linotype"/>
          <w:color w:val="000000"/>
          <w:sz w:val="21"/>
          <w:szCs w:val="21"/>
        </w:rPr>
        <w:t>Проведена экспертиза проекта решения Думы «Об исполнении бюджета муниципального образования за 2020 год» и внешняя проверка отчета об исполнении бюджета. Установлены замечания к формам 0503184 уточнить код главного администратора доходов, 0503127 уточнить код главного администратора доходов, 0503128 источники финансирования дефицита в нарушение п. 72 Инструкции № 191н, 0503161 утратила силу, 0503163 утратила силу, 0503164 уточнить коды главных администраторов доходов, 0503175 в нарушение п. 140 Инструкции № 162н, Таблица № 1 форма не соответствует утвержденной, Таблицы № 2, 5 и 7 утратили силу, таблица № 6 не представляется в составе документации если нет расхождений п. 158 Инструкции № 191н. Также установлено использование средств дорожного фонда в нарушение ст. 179.4 БК РФ.</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13.04.2021 </w:t>
      </w:r>
      <w:r w:rsidRPr="00415661">
        <w:rPr>
          <w:rFonts w:ascii="Palatino Linotype" w:hAnsi="Palatino Linotype"/>
          <w:color w:val="000000"/>
          <w:sz w:val="21"/>
          <w:szCs w:val="21"/>
        </w:rPr>
        <w:t>Проведена экспертиза проекта решения Думы «Об исполнении бюджета муниципального образования за 2020 год» и внешняя проверка отчета об исполнении бюджета. Установлены замечания к формам 0503169 уточнить отдельные показатели, 0503175 не заполнена графа 3  в нарушение п. 170.2 Инструкции № 191н, 0503191 не соответствует данным главной книги, таблица № 6 не представляется в составе документации если нет расхождений п. 158 Инструкции № 191н. Также установлены замечания к Приложениям № 3 в части уточнения КЦСР (не соответствует форме 0503151), уточнить показатели пояснительной записки, уточнить показатели дорожного фонда.</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13.04.2021 </w:t>
      </w:r>
      <w:r w:rsidRPr="00415661">
        <w:rPr>
          <w:rFonts w:ascii="Palatino Linotype" w:hAnsi="Palatino Linotype"/>
          <w:color w:val="000000"/>
          <w:sz w:val="21"/>
          <w:szCs w:val="21"/>
        </w:rPr>
        <w:t>Проведена экспертиза проекта решения Думы «Об исполнении бюджета муниципального образования за 2020 год» и внешняя проверка отчета об исполнении бюджета. Установлены замечания к формам0503123 уточнить КОСГУ по поступлениям, 0503125 не отражена амортизация, 0503184 не представлена в нарушение п. 50 Инструкции № 191н, 0503127 расходы без КОСГУ, 0503128 не представлена, 0503160 нет информации о формах с отсутствующими данными, 0503164 не представлена, 0503166 не представлена, 0503168 не ведется имущество казны в нарушение п.3 ст. 9 Федерального закона № 402-ФЗ, п. 38 Инструкции № 162н, 0503169 не отражена задолженность по гр. 12 в нарушение п. 167 Инструкции № 191н, 0503175 не представлена, 0503191 не представлена, 0503296 не представлена. Также установлены отдельные замечания к проекту решения, неэффективное использование бюджетных средств в части не использования программы 1С, использование по разделу 0409 сверх средств дорожного фонда в нарушение ст. 179.4 БК РФ.</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lastRenderedPageBreak/>
        <w:t>11.05.2021 </w:t>
      </w:r>
      <w:r w:rsidRPr="00415661">
        <w:rPr>
          <w:rFonts w:ascii="Palatino Linotype" w:hAnsi="Palatino Linotype"/>
          <w:color w:val="000000"/>
          <w:sz w:val="21"/>
          <w:szCs w:val="21"/>
        </w:rPr>
        <w:t>Проведена экспертиза проекта решения Думы «Об исполнении бюджета муниципального образования за 2020 год» и внешняя проверка отчета об исполнении бюджета. Установлены замечания к формам 0503120 материальные запасы не соответствуют идентичному показателю формы 0503168, 0503117 уточнить код вида расхода по отдельной строке, 0503124 не представлена в нарушение п. 11.2 Инструкции № 191н, 0503128 отдельные значения не соответствуют идентичным показателям формы 0503175, Таблица № 6 не представлена. Также установлены отдельные замечания к приложению № 3 проекта решения в части уточнения кода вида расхода.</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14.05.2021 </w:t>
      </w:r>
      <w:r w:rsidRPr="00415661">
        <w:rPr>
          <w:rFonts w:ascii="Palatino Linotype" w:hAnsi="Palatino Linotype"/>
          <w:color w:val="000000"/>
          <w:sz w:val="21"/>
          <w:szCs w:val="21"/>
        </w:rPr>
        <w:t>Проведена экспертиза проекта решения Думы «Об исполнении бюджета муниципального образования за 2020 год» и внешняя проверка отчета об исполнении бюджета. Установлены замечания к формам 0503125 нет справки по не денежным поступлениям, 0503128 гр. 7, 11 раздела IIIне соответствует идентичным показателям 0503130 и 0503169 в нарушение п. 72.1 Инструкции № 191н, 0503161 форма утратила силу, 0503163 форма утратила силу, Таблица № 1 форма не соответствует утвержденной, Таблицы № 3, 5 и 7 утратили силу. Также установлены замечания к приложениям проекта решения, а именно в приложении № 1 уточнить КБК по субсидии (не соответствует форме 0503151). Не представлен отчет об использовании средств дорожного фонда.</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color w:val="000000"/>
          <w:sz w:val="21"/>
          <w:szCs w:val="21"/>
        </w:rPr>
        <w:t> </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color w:val="000000"/>
          <w:sz w:val="21"/>
          <w:szCs w:val="21"/>
        </w:rPr>
        <w:t> </w:t>
      </w:r>
    </w:p>
    <w:p w:rsidR="00415661" w:rsidRPr="00415661" w:rsidRDefault="00415661" w:rsidP="00415661">
      <w:pPr>
        <w:shd w:val="clear" w:color="auto" w:fill="F3F5FC"/>
        <w:spacing w:line="315" w:lineRule="atLeast"/>
        <w:ind w:left="105" w:right="105" w:firstLine="375"/>
        <w:jc w:val="center"/>
        <w:rPr>
          <w:rFonts w:ascii="Palatino Linotype" w:hAnsi="Palatino Linotype"/>
          <w:color w:val="000000"/>
          <w:sz w:val="21"/>
          <w:szCs w:val="21"/>
        </w:rPr>
      </w:pPr>
      <w:r w:rsidRPr="00415661">
        <w:rPr>
          <w:rFonts w:ascii="Palatino Linotype" w:hAnsi="Palatino Linotype"/>
          <w:i/>
          <w:iCs/>
          <w:color w:val="000000"/>
          <w:sz w:val="21"/>
          <w:szCs w:val="21"/>
        </w:rPr>
        <w:t>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районного муниципального образования и муниципальных образований района</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29.01.2021 </w:t>
      </w:r>
      <w:r w:rsidRPr="00415661">
        <w:rPr>
          <w:rFonts w:ascii="Palatino Linotype" w:hAnsi="Palatino Linotype"/>
          <w:color w:val="000000"/>
          <w:sz w:val="21"/>
          <w:szCs w:val="21"/>
        </w:rPr>
        <w:t>Проведена экспертиза проекта Постановления администрации муниципального образования «О внесении изменений в Положение об оплате труда работников, замещающих должности, не являющиеся должностями муниципальной службы, и вспомогательного персонала администрации поселения». В ходе проведения экспертизы установлены замечания к отдельным текстовым показателям проекта, а также предлагалось дополнить пунктом о том, что назначение ежемесячной надбавки за выслугу лет оформляется распоряжением главы администрации муниципального образования.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11.02.2021 </w:t>
      </w:r>
      <w:r w:rsidRPr="00415661">
        <w:rPr>
          <w:rFonts w:ascii="Palatino Linotype" w:hAnsi="Palatino Linotype"/>
          <w:color w:val="000000"/>
          <w:sz w:val="21"/>
          <w:szCs w:val="21"/>
        </w:rPr>
        <w:t>Проведена экспертиза проекта Положения о системе оплаты труда работников МКУК КДЦ муниципального образования. По результатам экспертизы предлагалось в Положении сделать ссылку на приказ № 22-мпр от 28.04.2017г., исключить указания на муниципальные задания (поскольку учреждение является казенным), исключить указания на выполнение плана «дорожной карты», дополнить стимулирующей выплатой за стаж непрерывной работы, за выслугу лет, исключить отдельные противоречия между пунктами Положения. Также установлены отдельные замечания к проекту штатного расписания.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11.02.2021 </w:t>
      </w:r>
      <w:r w:rsidRPr="00415661">
        <w:rPr>
          <w:rFonts w:ascii="Palatino Linotype" w:hAnsi="Palatino Linotype"/>
          <w:color w:val="000000"/>
          <w:sz w:val="21"/>
          <w:szCs w:val="21"/>
        </w:rPr>
        <w:t>Проведена экспертиза проекта Положения о системе оплаты труда работников МКУК КДЦ муниципального образования. По результатам экспертизы предлагалось в Положении сделать ссылку на приказ № 22-мпр от 28.04.2017г., исключить указания на муниципальные задания (поскольку учреждение является казенным), исключить указания на выполнение плана «дорожной карты», дополнить стимулирующей выплатой за стаж непрерывной работы, за выслугу лет, исключить отдельные противоречия между пунктами Положения. Также установлены отдельные замечания к проекту штатного расписания. </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11.02.2021 </w:t>
      </w:r>
      <w:r w:rsidRPr="00415661">
        <w:rPr>
          <w:rFonts w:ascii="Palatino Linotype" w:hAnsi="Palatino Linotype"/>
          <w:color w:val="000000"/>
          <w:sz w:val="21"/>
          <w:szCs w:val="21"/>
        </w:rPr>
        <w:t xml:space="preserve">Проведена экспертиза проекта Положения о системе оплаты труда работников МКУК КДЦ муниципального образования. По результатам экспертизы предлагалось в Положении сделать ссылку на приказ № 22-мпр от 28.04.2017г., исключить указания на </w:t>
      </w:r>
      <w:r w:rsidRPr="00415661">
        <w:rPr>
          <w:rFonts w:ascii="Palatino Linotype" w:hAnsi="Palatino Linotype"/>
          <w:color w:val="000000"/>
          <w:sz w:val="21"/>
          <w:szCs w:val="21"/>
        </w:rPr>
        <w:lastRenderedPageBreak/>
        <w:t>муниципальные задания (поскольку учреждение является казенным), исключить указания на выполнение плана «дорожной карты», дополнить стимулирующей выплатой за стаж непрерывной работы, за выслугу лет, исключить отдельные противоречия между пунктами Положения и др. Также установлены отдельные замечания к проекту штатного расписания.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03.03.2021 </w:t>
      </w:r>
      <w:r w:rsidRPr="00415661">
        <w:rPr>
          <w:rFonts w:ascii="Palatino Linotype" w:hAnsi="Palatino Linotype"/>
          <w:color w:val="000000"/>
          <w:sz w:val="21"/>
          <w:szCs w:val="21"/>
        </w:rPr>
        <w:t>Проведена экспертиза проекта Положения о системе оплаты труда работников МКУК КДЦ муниципального образования. В Заключении отмечались рекомендации о замене слов «заместитель мэра по социальным вопросам» на «глава администрации муниципального образования», слова «районный бюджет» заменить словами «бюджет поселения» и др. Также установлены замечания к проекту штатного расписания.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03.03.2021 </w:t>
      </w:r>
      <w:r w:rsidRPr="00415661">
        <w:rPr>
          <w:rFonts w:ascii="Palatino Linotype" w:hAnsi="Palatino Linotype"/>
          <w:color w:val="000000"/>
          <w:sz w:val="21"/>
          <w:szCs w:val="21"/>
        </w:rPr>
        <w:t>Проведена экспертиза проекта Положения о системе оплаты труда работников МКУК КДЦ муниципального образования. По результатам экспертизы установлены замечания к отдельным текстовым показателям, слова «средней заработной платы» заменить словами «среднего размера должностного оклада» и др.</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03.03.2021 </w:t>
      </w:r>
      <w:r w:rsidRPr="00415661">
        <w:rPr>
          <w:rFonts w:ascii="Palatino Linotype" w:hAnsi="Palatino Linotype"/>
          <w:color w:val="000000"/>
          <w:sz w:val="21"/>
          <w:szCs w:val="21"/>
        </w:rPr>
        <w:t>Проведена экспертиза проекта Положения о системе оплаты труда работников МКУК КДЦ муниципального образования. В Заключении отмечалось, что в представленном проекте устранены замечания, изложенные ранее. Также отмечались замечания к штатному расписанию.</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03.03.2021 </w:t>
      </w:r>
      <w:r w:rsidRPr="00415661">
        <w:rPr>
          <w:rFonts w:ascii="Palatino Linotype" w:hAnsi="Palatino Linotype"/>
          <w:color w:val="000000"/>
          <w:sz w:val="21"/>
          <w:szCs w:val="21"/>
        </w:rPr>
        <w:t>Проведена экспертиза проекта Положения о системе оплаты труда работников МКУК КДЦ муниципального образования. В Заключении отмечалось о необходимости слова «средней заработной платы» заменить словами «среднего размера должностного оклада». Также отмечались замечания к проекту штатного расписания.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11.05.2021 </w:t>
      </w:r>
      <w:r w:rsidRPr="00415661">
        <w:rPr>
          <w:rFonts w:ascii="Palatino Linotype" w:hAnsi="Palatino Linotype"/>
          <w:color w:val="000000"/>
          <w:sz w:val="21"/>
          <w:szCs w:val="21"/>
        </w:rPr>
        <w:t>Проведена экспертиза проекта Положения о системе оплаты труда работников МКУК КДЦ муниципального образования. В Заключении отмечалось, что устранены замечания, изложенные ранее, а также в постановлении уточнить отдельные текстовые показатели.</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11.05.2021 </w:t>
      </w:r>
      <w:r w:rsidRPr="00415661">
        <w:rPr>
          <w:rFonts w:ascii="Palatino Linotype" w:hAnsi="Palatino Linotype"/>
          <w:color w:val="000000"/>
          <w:sz w:val="21"/>
          <w:szCs w:val="21"/>
        </w:rPr>
        <w:t>Проведена экспертиза проекта Положения о системе оплаты труда работников МКУК КДЦ муниципального образования. В ходе проведения экспертизы замечаний не установлено.</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12.05.2021 </w:t>
      </w:r>
      <w:r w:rsidRPr="00415661">
        <w:rPr>
          <w:rFonts w:ascii="Palatino Linotype" w:hAnsi="Palatino Linotype"/>
          <w:color w:val="000000"/>
          <w:sz w:val="21"/>
          <w:szCs w:val="21"/>
        </w:rPr>
        <w:t>Проведена экспертиза проекта Положения о системе оплаты труда работников МКУК КДЦ муниципального образования. По результатам экспертизы в Заключении отмечались рекомендации о замене слов «заместитель мэра по социальным вопросам» на «глава администрации муниципального образования», слова «районный бюджет» заменить словами «бюджет поселения», исключить указания на муниципальные задания (поскольку учреждение является казенным), исключить указания на выполнение плана «дорожной карты», уточнить перечень должностей для расчета должностного оклада руководителю, исключить отдельные противоречия между пунктами Положения. Положение по оплате труда руководителя должно быть утверждено постановлением администрации в силу ст. 145 ТК РФ. Также установлено, что  проект штатного расписания не представлялся, однако имелись основания для его изменения, поскольку введена новая выплата за непрерывный стаж работы.</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12.05.2021 </w:t>
      </w:r>
      <w:r w:rsidRPr="00415661">
        <w:rPr>
          <w:rFonts w:ascii="Palatino Linotype" w:hAnsi="Palatino Linotype"/>
          <w:color w:val="000000"/>
          <w:sz w:val="21"/>
          <w:szCs w:val="21"/>
        </w:rPr>
        <w:t>Проведена экспертиза проекта Положения о системе оплаты труда работников МКУК КДЦ муниципального образования. В Заключении отмечались замечания к отдельным текстовым показателям проекта, такие как исключить слова муниципальные задания, отдел культуры. Также установлено несоответствие должностей в штатном расписании и Положении.</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lastRenderedPageBreak/>
        <w:t>12.05.2021 </w:t>
      </w:r>
      <w:r w:rsidRPr="00415661">
        <w:rPr>
          <w:rFonts w:ascii="Palatino Linotype" w:hAnsi="Palatino Linotype"/>
          <w:color w:val="000000"/>
          <w:sz w:val="21"/>
          <w:szCs w:val="21"/>
        </w:rPr>
        <w:t>Проведена экспертиза проекта Положения о системе оплаты труда руководителя МКУК КДЦ муниципального образования. В Заключении отмечались замечания к отдельным текстовым показателям проекта, такие как исключить слова муниципальные задания, отдел культуры, «дорожные карты» и другие замечания.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24.05.2021 </w:t>
      </w:r>
      <w:r w:rsidRPr="00415661">
        <w:rPr>
          <w:rFonts w:ascii="Palatino Linotype" w:hAnsi="Palatino Linotype"/>
          <w:color w:val="000000"/>
          <w:sz w:val="21"/>
          <w:szCs w:val="21"/>
        </w:rPr>
        <w:t>Проведена экспертиза проекта Постановления «Об утверждении Положения об отпусках муниципальных служащих, работников, замещающих должности, не относящиеся  к муниципальным должностям муниципальной службы, и вспомогательного персонала органов местного самоуправления муниципального образования». В заключении отмечалось о необходимости нормы по отпуску без сохранения заработной платы 14 календарных дней привести в соответствии со ст. 121 ТК РФ.</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02.06.2021 </w:t>
      </w:r>
      <w:r w:rsidRPr="00415661">
        <w:rPr>
          <w:rFonts w:ascii="Palatino Linotype" w:hAnsi="Palatino Linotype"/>
          <w:color w:val="000000"/>
          <w:sz w:val="21"/>
          <w:szCs w:val="21"/>
        </w:rPr>
        <w:t>Проведена экспертиза проекта Постановления администрации муниципального образования «Об оплате труда работников, замещающих должности, не являющиеся должностями муниципальной службы, и вспомогательного персонала администрации поселения». Замечаний в ходе проведения экспертизы не установлено.</w:t>
      </w:r>
    </w:p>
    <w:p w:rsidR="00415661" w:rsidRPr="00415661" w:rsidRDefault="00415661" w:rsidP="00415661">
      <w:pPr>
        <w:shd w:val="clear" w:color="auto" w:fill="F3F5FC"/>
        <w:spacing w:line="315" w:lineRule="atLeast"/>
        <w:ind w:left="105" w:right="105" w:firstLine="375"/>
        <w:jc w:val="center"/>
        <w:rPr>
          <w:rFonts w:ascii="Palatino Linotype" w:hAnsi="Palatino Linotype"/>
          <w:color w:val="000000"/>
          <w:sz w:val="21"/>
          <w:szCs w:val="21"/>
        </w:rPr>
      </w:pPr>
      <w:r w:rsidRPr="00415661">
        <w:rPr>
          <w:rFonts w:ascii="Palatino Linotype" w:hAnsi="Palatino Linotype"/>
          <w:i/>
          <w:iCs/>
          <w:color w:val="000000"/>
          <w:sz w:val="21"/>
          <w:szCs w:val="21"/>
        </w:rPr>
        <w:t>Экспертиза проектов нормативных правовых актов, регулирующих бюджетные правоотношения</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01.04.2021 </w:t>
      </w:r>
      <w:r w:rsidRPr="00415661">
        <w:rPr>
          <w:rFonts w:ascii="Palatino Linotype" w:hAnsi="Palatino Linotype"/>
          <w:color w:val="000000"/>
          <w:sz w:val="21"/>
          <w:szCs w:val="21"/>
        </w:rPr>
        <w:t>Проведена экспертиза проекта решения Думы «О внесении изменений в Положение о бюджетном процессе в муниципальном образовании». Предлагалось в отдельных пунктах проекта слова «подпункт» и «пункт» заменить словами «пункт» и «часть» соответственно.</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17.05.2021 </w:t>
      </w:r>
      <w:r w:rsidRPr="00415661">
        <w:rPr>
          <w:rFonts w:ascii="Palatino Linotype" w:hAnsi="Palatino Linotype"/>
          <w:color w:val="000000"/>
          <w:sz w:val="21"/>
          <w:szCs w:val="21"/>
        </w:rPr>
        <w:t>Проведена экспертиза проекта постановления «Об утверждении Положения о порядке принятия решений о разработке муниципальных программ сельского поселения, их формировании и реализации. В ходе проведения экспертизы установлены нарушения ст. 179 БК РФ о том что муниципальные программы подлежат приведению в соответствии с решением о бюджете. Также предлагалось исключить слова государственные программы, структурные подразделения администрации, муниципальные образования района.</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color w:val="000000"/>
          <w:sz w:val="21"/>
          <w:szCs w:val="21"/>
        </w:rPr>
        <w:t> </w:t>
      </w:r>
    </w:p>
    <w:p w:rsidR="00415661" w:rsidRPr="00415661" w:rsidRDefault="00415661" w:rsidP="00415661">
      <w:pPr>
        <w:shd w:val="clear" w:color="auto" w:fill="F3F5FC"/>
        <w:spacing w:line="315" w:lineRule="atLeast"/>
        <w:ind w:left="105" w:right="105" w:firstLine="375"/>
        <w:jc w:val="center"/>
        <w:rPr>
          <w:rFonts w:ascii="Palatino Linotype" w:hAnsi="Palatino Linotype"/>
          <w:color w:val="000000"/>
          <w:sz w:val="21"/>
          <w:szCs w:val="21"/>
        </w:rPr>
      </w:pPr>
      <w:r w:rsidRPr="00415661">
        <w:rPr>
          <w:rFonts w:ascii="Palatino Linotype" w:hAnsi="Palatino Linotype"/>
          <w:i/>
          <w:iCs/>
          <w:color w:val="000000"/>
          <w:sz w:val="21"/>
          <w:szCs w:val="21"/>
        </w:rPr>
        <w:t>Обследование достоверности, полноты и соответствия нормативным требованиям составления и представления отчета об исполнении районного бюджета и  бюджетов муниципальных образований района за 1 квартал, полугодие, 9 месяцев</w:t>
      </w:r>
    </w:p>
    <w:p w:rsidR="00415661" w:rsidRPr="00415661" w:rsidRDefault="00415661" w:rsidP="00415661">
      <w:pPr>
        <w:shd w:val="clear" w:color="auto" w:fill="F3F5FC"/>
        <w:spacing w:line="315" w:lineRule="atLeast"/>
        <w:ind w:left="105" w:right="105" w:firstLine="375"/>
        <w:jc w:val="both"/>
        <w:rPr>
          <w:rFonts w:ascii="Palatino Linotype" w:hAnsi="Palatino Linotype"/>
          <w:color w:val="000000"/>
          <w:sz w:val="21"/>
          <w:szCs w:val="21"/>
        </w:rPr>
      </w:pPr>
      <w:r w:rsidRPr="00415661">
        <w:rPr>
          <w:rFonts w:ascii="Palatino Linotype" w:hAnsi="Palatino Linotype"/>
          <w:b/>
          <w:bCs/>
          <w:color w:val="000000"/>
          <w:sz w:val="21"/>
          <w:szCs w:val="21"/>
        </w:rPr>
        <w:t>27.05.2021 </w:t>
      </w:r>
      <w:r w:rsidRPr="00415661">
        <w:rPr>
          <w:rFonts w:ascii="Palatino Linotype" w:hAnsi="Palatino Linotype"/>
          <w:color w:val="000000"/>
          <w:sz w:val="21"/>
          <w:szCs w:val="21"/>
        </w:rPr>
        <w:t>Проведено обследование достоверности, полноты и соответствия нормативным требованиям составления и представления отчета об исполнении районного бюджета за 1 квартал 2021 года. В форме 0503117, Приложении № 4 по распределению бюджетных ассигнований установлены замечания к показателям отдельных строк.</w:t>
      </w:r>
    </w:p>
    <w:p w:rsidR="003E0016" w:rsidRPr="00415661" w:rsidRDefault="003E0016" w:rsidP="00415661">
      <w:bookmarkStart w:id="0" w:name="_GoBack"/>
      <w:bookmarkEnd w:id="0"/>
    </w:p>
    <w:sectPr w:rsidR="003E0016" w:rsidRPr="00415661" w:rsidSect="006F70CC">
      <w:pgSz w:w="11906" w:h="16838"/>
      <w:pgMar w:top="1134" w:right="850" w:bottom="1134"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D4D"/>
    <w:rsid w:val="000F6A9F"/>
    <w:rsid w:val="00174DE6"/>
    <w:rsid w:val="001924B6"/>
    <w:rsid w:val="001F0D4D"/>
    <w:rsid w:val="001F5C96"/>
    <w:rsid w:val="00215EBF"/>
    <w:rsid w:val="002A38D8"/>
    <w:rsid w:val="002B5AA5"/>
    <w:rsid w:val="002E1509"/>
    <w:rsid w:val="002E3581"/>
    <w:rsid w:val="00380A89"/>
    <w:rsid w:val="003C7988"/>
    <w:rsid w:val="003E0016"/>
    <w:rsid w:val="003F5514"/>
    <w:rsid w:val="00415661"/>
    <w:rsid w:val="00426B7F"/>
    <w:rsid w:val="00525A60"/>
    <w:rsid w:val="005404D5"/>
    <w:rsid w:val="00566A93"/>
    <w:rsid w:val="00603816"/>
    <w:rsid w:val="00683D8C"/>
    <w:rsid w:val="006F70CC"/>
    <w:rsid w:val="00797E06"/>
    <w:rsid w:val="00AB3B44"/>
    <w:rsid w:val="00B30CFA"/>
    <w:rsid w:val="00C739E5"/>
    <w:rsid w:val="00D72AA2"/>
    <w:rsid w:val="00F27B71"/>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00F11-4E99-4531-BB2E-594A11A8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4DE6"/>
    <w:pPr>
      <w:spacing w:before="100" w:beforeAutospacing="1" w:after="100" w:afterAutospacing="1" w:line="240" w:lineRule="auto"/>
      <w:ind w:firstLine="0"/>
    </w:pPr>
    <w:rPr>
      <w:sz w:val="24"/>
    </w:rPr>
  </w:style>
  <w:style w:type="character" w:styleId="a4">
    <w:name w:val="Strong"/>
    <w:basedOn w:val="a0"/>
    <w:uiPriority w:val="22"/>
    <w:qFormat/>
    <w:rsid w:val="00174DE6"/>
    <w:rPr>
      <w:b/>
      <w:bCs/>
    </w:rPr>
  </w:style>
  <w:style w:type="character" w:styleId="a5">
    <w:name w:val="Hyperlink"/>
    <w:basedOn w:val="a0"/>
    <w:uiPriority w:val="99"/>
    <w:semiHidden/>
    <w:unhideWhenUsed/>
    <w:rsid w:val="00174DE6"/>
    <w:rPr>
      <w:color w:val="0000FF"/>
      <w:u w:val="single"/>
    </w:rPr>
  </w:style>
  <w:style w:type="character" w:styleId="a6">
    <w:name w:val="Emphasis"/>
    <w:basedOn w:val="a0"/>
    <w:uiPriority w:val="20"/>
    <w:qFormat/>
    <w:rsid w:val="001924B6"/>
    <w:rPr>
      <w:i/>
      <w:iCs/>
    </w:rPr>
  </w:style>
  <w:style w:type="paragraph" w:customStyle="1" w:styleId="consplusnonformat">
    <w:name w:val="consplusnonformat"/>
    <w:basedOn w:val="a"/>
    <w:rsid w:val="006F70CC"/>
    <w:pPr>
      <w:spacing w:before="100" w:beforeAutospacing="1" w:after="100" w:afterAutospacing="1" w:line="240" w:lineRule="auto"/>
      <w:ind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73346">
      <w:bodyDiv w:val="1"/>
      <w:marLeft w:val="0"/>
      <w:marRight w:val="0"/>
      <w:marTop w:val="0"/>
      <w:marBottom w:val="0"/>
      <w:divBdr>
        <w:top w:val="none" w:sz="0" w:space="0" w:color="auto"/>
        <w:left w:val="none" w:sz="0" w:space="0" w:color="auto"/>
        <w:bottom w:val="none" w:sz="0" w:space="0" w:color="auto"/>
        <w:right w:val="none" w:sz="0" w:space="0" w:color="auto"/>
      </w:divBdr>
    </w:div>
    <w:div w:id="216745697">
      <w:bodyDiv w:val="1"/>
      <w:marLeft w:val="0"/>
      <w:marRight w:val="0"/>
      <w:marTop w:val="0"/>
      <w:marBottom w:val="0"/>
      <w:divBdr>
        <w:top w:val="none" w:sz="0" w:space="0" w:color="auto"/>
        <w:left w:val="none" w:sz="0" w:space="0" w:color="auto"/>
        <w:bottom w:val="none" w:sz="0" w:space="0" w:color="auto"/>
        <w:right w:val="none" w:sz="0" w:space="0" w:color="auto"/>
      </w:divBdr>
    </w:div>
    <w:div w:id="261911710">
      <w:bodyDiv w:val="1"/>
      <w:marLeft w:val="0"/>
      <w:marRight w:val="0"/>
      <w:marTop w:val="0"/>
      <w:marBottom w:val="0"/>
      <w:divBdr>
        <w:top w:val="none" w:sz="0" w:space="0" w:color="auto"/>
        <w:left w:val="none" w:sz="0" w:space="0" w:color="auto"/>
        <w:bottom w:val="none" w:sz="0" w:space="0" w:color="auto"/>
        <w:right w:val="none" w:sz="0" w:space="0" w:color="auto"/>
      </w:divBdr>
    </w:div>
    <w:div w:id="333916175">
      <w:bodyDiv w:val="1"/>
      <w:marLeft w:val="0"/>
      <w:marRight w:val="0"/>
      <w:marTop w:val="0"/>
      <w:marBottom w:val="0"/>
      <w:divBdr>
        <w:top w:val="none" w:sz="0" w:space="0" w:color="auto"/>
        <w:left w:val="none" w:sz="0" w:space="0" w:color="auto"/>
        <w:bottom w:val="none" w:sz="0" w:space="0" w:color="auto"/>
        <w:right w:val="none" w:sz="0" w:space="0" w:color="auto"/>
      </w:divBdr>
    </w:div>
    <w:div w:id="357850006">
      <w:bodyDiv w:val="1"/>
      <w:marLeft w:val="0"/>
      <w:marRight w:val="0"/>
      <w:marTop w:val="0"/>
      <w:marBottom w:val="0"/>
      <w:divBdr>
        <w:top w:val="none" w:sz="0" w:space="0" w:color="auto"/>
        <w:left w:val="none" w:sz="0" w:space="0" w:color="auto"/>
        <w:bottom w:val="none" w:sz="0" w:space="0" w:color="auto"/>
        <w:right w:val="none" w:sz="0" w:space="0" w:color="auto"/>
      </w:divBdr>
    </w:div>
    <w:div w:id="414593546">
      <w:bodyDiv w:val="1"/>
      <w:marLeft w:val="0"/>
      <w:marRight w:val="0"/>
      <w:marTop w:val="0"/>
      <w:marBottom w:val="0"/>
      <w:divBdr>
        <w:top w:val="none" w:sz="0" w:space="0" w:color="auto"/>
        <w:left w:val="none" w:sz="0" w:space="0" w:color="auto"/>
        <w:bottom w:val="none" w:sz="0" w:space="0" w:color="auto"/>
        <w:right w:val="none" w:sz="0" w:space="0" w:color="auto"/>
      </w:divBdr>
    </w:div>
    <w:div w:id="459807462">
      <w:bodyDiv w:val="1"/>
      <w:marLeft w:val="0"/>
      <w:marRight w:val="0"/>
      <w:marTop w:val="0"/>
      <w:marBottom w:val="0"/>
      <w:divBdr>
        <w:top w:val="none" w:sz="0" w:space="0" w:color="auto"/>
        <w:left w:val="none" w:sz="0" w:space="0" w:color="auto"/>
        <w:bottom w:val="none" w:sz="0" w:space="0" w:color="auto"/>
        <w:right w:val="none" w:sz="0" w:space="0" w:color="auto"/>
      </w:divBdr>
    </w:div>
    <w:div w:id="625543538">
      <w:bodyDiv w:val="1"/>
      <w:marLeft w:val="0"/>
      <w:marRight w:val="0"/>
      <w:marTop w:val="0"/>
      <w:marBottom w:val="0"/>
      <w:divBdr>
        <w:top w:val="none" w:sz="0" w:space="0" w:color="auto"/>
        <w:left w:val="none" w:sz="0" w:space="0" w:color="auto"/>
        <w:bottom w:val="none" w:sz="0" w:space="0" w:color="auto"/>
        <w:right w:val="none" w:sz="0" w:space="0" w:color="auto"/>
      </w:divBdr>
    </w:div>
    <w:div w:id="629555208">
      <w:bodyDiv w:val="1"/>
      <w:marLeft w:val="0"/>
      <w:marRight w:val="0"/>
      <w:marTop w:val="0"/>
      <w:marBottom w:val="0"/>
      <w:divBdr>
        <w:top w:val="none" w:sz="0" w:space="0" w:color="auto"/>
        <w:left w:val="none" w:sz="0" w:space="0" w:color="auto"/>
        <w:bottom w:val="none" w:sz="0" w:space="0" w:color="auto"/>
        <w:right w:val="none" w:sz="0" w:space="0" w:color="auto"/>
      </w:divBdr>
    </w:div>
    <w:div w:id="767115405">
      <w:bodyDiv w:val="1"/>
      <w:marLeft w:val="0"/>
      <w:marRight w:val="0"/>
      <w:marTop w:val="0"/>
      <w:marBottom w:val="0"/>
      <w:divBdr>
        <w:top w:val="none" w:sz="0" w:space="0" w:color="auto"/>
        <w:left w:val="none" w:sz="0" w:space="0" w:color="auto"/>
        <w:bottom w:val="none" w:sz="0" w:space="0" w:color="auto"/>
        <w:right w:val="none" w:sz="0" w:space="0" w:color="auto"/>
      </w:divBdr>
    </w:div>
    <w:div w:id="784273406">
      <w:bodyDiv w:val="1"/>
      <w:marLeft w:val="0"/>
      <w:marRight w:val="0"/>
      <w:marTop w:val="0"/>
      <w:marBottom w:val="0"/>
      <w:divBdr>
        <w:top w:val="none" w:sz="0" w:space="0" w:color="auto"/>
        <w:left w:val="none" w:sz="0" w:space="0" w:color="auto"/>
        <w:bottom w:val="none" w:sz="0" w:space="0" w:color="auto"/>
        <w:right w:val="none" w:sz="0" w:space="0" w:color="auto"/>
      </w:divBdr>
    </w:div>
    <w:div w:id="893544315">
      <w:bodyDiv w:val="1"/>
      <w:marLeft w:val="0"/>
      <w:marRight w:val="0"/>
      <w:marTop w:val="0"/>
      <w:marBottom w:val="0"/>
      <w:divBdr>
        <w:top w:val="none" w:sz="0" w:space="0" w:color="auto"/>
        <w:left w:val="none" w:sz="0" w:space="0" w:color="auto"/>
        <w:bottom w:val="none" w:sz="0" w:space="0" w:color="auto"/>
        <w:right w:val="none" w:sz="0" w:space="0" w:color="auto"/>
      </w:divBdr>
    </w:div>
    <w:div w:id="941912622">
      <w:bodyDiv w:val="1"/>
      <w:marLeft w:val="0"/>
      <w:marRight w:val="0"/>
      <w:marTop w:val="0"/>
      <w:marBottom w:val="0"/>
      <w:divBdr>
        <w:top w:val="none" w:sz="0" w:space="0" w:color="auto"/>
        <w:left w:val="none" w:sz="0" w:space="0" w:color="auto"/>
        <w:bottom w:val="none" w:sz="0" w:space="0" w:color="auto"/>
        <w:right w:val="none" w:sz="0" w:space="0" w:color="auto"/>
      </w:divBdr>
    </w:div>
    <w:div w:id="966200226">
      <w:bodyDiv w:val="1"/>
      <w:marLeft w:val="0"/>
      <w:marRight w:val="0"/>
      <w:marTop w:val="0"/>
      <w:marBottom w:val="0"/>
      <w:divBdr>
        <w:top w:val="none" w:sz="0" w:space="0" w:color="auto"/>
        <w:left w:val="none" w:sz="0" w:space="0" w:color="auto"/>
        <w:bottom w:val="none" w:sz="0" w:space="0" w:color="auto"/>
        <w:right w:val="none" w:sz="0" w:space="0" w:color="auto"/>
      </w:divBdr>
    </w:div>
    <w:div w:id="1022367361">
      <w:bodyDiv w:val="1"/>
      <w:marLeft w:val="0"/>
      <w:marRight w:val="0"/>
      <w:marTop w:val="0"/>
      <w:marBottom w:val="0"/>
      <w:divBdr>
        <w:top w:val="none" w:sz="0" w:space="0" w:color="auto"/>
        <w:left w:val="none" w:sz="0" w:space="0" w:color="auto"/>
        <w:bottom w:val="none" w:sz="0" w:space="0" w:color="auto"/>
        <w:right w:val="none" w:sz="0" w:space="0" w:color="auto"/>
      </w:divBdr>
    </w:div>
    <w:div w:id="1120565547">
      <w:bodyDiv w:val="1"/>
      <w:marLeft w:val="0"/>
      <w:marRight w:val="0"/>
      <w:marTop w:val="0"/>
      <w:marBottom w:val="0"/>
      <w:divBdr>
        <w:top w:val="none" w:sz="0" w:space="0" w:color="auto"/>
        <w:left w:val="none" w:sz="0" w:space="0" w:color="auto"/>
        <w:bottom w:val="none" w:sz="0" w:space="0" w:color="auto"/>
        <w:right w:val="none" w:sz="0" w:space="0" w:color="auto"/>
      </w:divBdr>
    </w:div>
    <w:div w:id="1141119874">
      <w:bodyDiv w:val="1"/>
      <w:marLeft w:val="0"/>
      <w:marRight w:val="0"/>
      <w:marTop w:val="0"/>
      <w:marBottom w:val="0"/>
      <w:divBdr>
        <w:top w:val="none" w:sz="0" w:space="0" w:color="auto"/>
        <w:left w:val="none" w:sz="0" w:space="0" w:color="auto"/>
        <w:bottom w:val="none" w:sz="0" w:space="0" w:color="auto"/>
        <w:right w:val="none" w:sz="0" w:space="0" w:color="auto"/>
      </w:divBdr>
    </w:div>
    <w:div w:id="1153984177">
      <w:bodyDiv w:val="1"/>
      <w:marLeft w:val="0"/>
      <w:marRight w:val="0"/>
      <w:marTop w:val="0"/>
      <w:marBottom w:val="0"/>
      <w:divBdr>
        <w:top w:val="none" w:sz="0" w:space="0" w:color="auto"/>
        <w:left w:val="none" w:sz="0" w:space="0" w:color="auto"/>
        <w:bottom w:val="none" w:sz="0" w:space="0" w:color="auto"/>
        <w:right w:val="none" w:sz="0" w:space="0" w:color="auto"/>
      </w:divBdr>
    </w:div>
    <w:div w:id="1256674147">
      <w:bodyDiv w:val="1"/>
      <w:marLeft w:val="0"/>
      <w:marRight w:val="0"/>
      <w:marTop w:val="0"/>
      <w:marBottom w:val="0"/>
      <w:divBdr>
        <w:top w:val="none" w:sz="0" w:space="0" w:color="auto"/>
        <w:left w:val="none" w:sz="0" w:space="0" w:color="auto"/>
        <w:bottom w:val="none" w:sz="0" w:space="0" w:color="auto"/>
        <w:right w:val="none" w:sz="0" w:space="0" w:color="auto"/>
      </w:divBdr>
    </w:div>
    <w:div w:id="1371959548">
      <w:bodyDiv w:val="1"/>
      <w:marLeft w:val="0"/>
      <w:marRight w:val="0"/>
      <w:marTop w:val="0"/>
      <w:marBottom w:val="0"/>
      <w:divBdr>
        <w:top w:val="none" w:sz="0" w:space="0" w:color="auto"/>
        <w:left w:val="none" w:sz="0" w:space="0" w:color="auto"/>
        <w:bottom w:val="none" w:sz="0" w:space="0" w:color="auto"/>
        <w:right w:val="none" w:sz="0" w:space="0" w:color="auto"/>
      </w:divBdr>
    </w:div>
    <w:div w:id="1383753840">
      <w:bodyDiv w:val="1"/>
      <w:marLeft w:val="0"/>
      <w:marRight w:val="0"/>
      <w:marTop w:val="0"/>
      <w:marBottom w:val="0"/>
      <w:divBdr>
        <w:top w:val="none" w:sz="0" w:space="0" w:color="auto"/>
        <w:left w:val="none" w:sz="0" w:space="0" w:color="auto"/>
        <w:bottom w:val="none" w:sz="0" w:space="0" w:color="auto"/>
        <w:right w:val="none" w:sz="0" w:space="0" w:color="auto"/>
      </w:divBdr>
    </w:div>
    <w:div w:id="1406493381">
      <w:bodyDiv w:val="1"/>
      <w:marLeft w:val="0"/>
      <w:marRight w:val="0"/>
      <w:marTop w:val="0"/>
      <w:marBottom w:val="0"/>
      <w:divBdr>
        <w:top w:val="none" w:sz="0" w:space="0" w:color="auto"/>
        <w:left w:val="none" w:sz="0" w:space="0" w:color="auto"/>
        <w:bottom w:val="none" w:sz="0" w:space="0" w:color="auto"/>
        <w:right w:val="none" w:sz="0" w:space="0" w:color="auto"/>
      </w:divBdr>
    </w:div>
    <w:div w:id="1594046314">
      <w:bodyDiv w:val="1"/>
      <w:marLeft w:val="0"/>
      <w:marRight w:val="0"/>
      <w:marTop w:val="0"/>
      <w:marBottom w:val="0"/>
      <w:divBdr>
        <w:top w:val="none" w:sz="0" w:space="0" w:color="auto"/>
        <w:left w:val="none" w:sz="0" w:space="0" w:color="auto"/>
        <w:bottom w:val="none" w:sz="0" w:space="0" w:color="auto"/>
        <w:right w:val="none" w:sz="0" w:space="0" w:color="auto"/>
      </w:divBdr>
    </w:div>
    <w:div w:id="1805391239">
      <w:bodyDiv w:val="1"/>
      <w:marLeft w:val="0"/>
      <w:marRight w:val="0"/>
      <w:marTop w:val="0"/>
      <w:marBottom w:val="0"/>
      <w:divBdr>
        <w:top w:val="none" w:sz="0" w:space="0" w:color="auto"/>
        <w:left w:val="none" w:sz="0" w:space="0" w:color="auto"/>
        <w:bottom w:val="none" w:sz="0" w:space="0" w:color="auto"/>
        <w:right w:val="none" w:sz="0" w:space="0" w:color="auto"/>
      </w:divBdr>
      <w:divsChild>
        <w:div w:id="1141800564">
          <w:marLeft w:val="225"/>
          <w:marRight w:val="225"/>
          <w:marTop w:val="225"/>
          <w:marBottom w:val="225"/>
          <w:divBdr>
            <w:top w:val="none" w:sz="0" w:space="0" w:color="auto"/>
            <w:left w:val="none" w:sz="0" w:space="0" w:color="auto"/>
            <w:bottom w:val="none" w:sz="0" w:space="0" w:color="auto"/>
            <w:right w:val="none" w:sz="0" w:space="0" w:color="auto"/>
          </w:divBdr>
        </w:div>
        <w:div w:id="1160735397">
          <w:marLeft w:val="150"/>
          <w:marRight w:val="150"/>
          <w:marTop w:val="105"/>
          <w:marBottom w:val="105"/>
          <w:divBdr>
            <w:top w:val="none" w:sz="0" w:space="0" w:color="auto"/>
            <w:left w:val="none" w:sz="0" w:space="0" w:color="auto"/>
            <w:bottom w:val="none" w:sz="0" w:space="0" w:color="auto"/>
            <w:right w:val="none" w:sz="0" w:space="0" w:color="auto"/>
          </w:divBdr>
        </w:div>
      </w:divsChild>
    </w:div>
    <w:div w:id="1838497576">
      <w:bodyDiv w:val="1"/>
      <w:marLeft w:val="0"/>
      <w:marRight w:val="0"/>
      <w:marTop w:val="0"/>
      <w:marBottom w:val="0"/>
      <w:divBdr>
        <w:top w:val="none" w:sz="0" w:space="0" w:color="auto"/>
        <w:left w:val="none" w:sz="0" w:space="0" w:color="auto"/>
        <w:bottom w:val="none" w:sz="0" w:space="0" w:color="auto"/>
        <w:right w:val="none" w:sz="0" w:space="0" w:color="auto"/>
      </w:divBdr>
    </w:div>
    <w:div w:id="1839616565">
      <w:bodyDiv w:val="1"/>
      <w:marLeft w:val="0"/>
      <w:marRight w:val="0"/>
      <w:marTop w:val="0"/>
      <w:marBottom w:val="0"/>
      <w:divBdr>
        <w:top w:val="none" w:sz="0" w:space="0" w:color="auto"/>
        <w:left w:val="none" w:sz="0" w:space="0" w:color="auto"/>
        <w:bottom w:val="none" w:sz="0" w:space="0" w:color="auto"/>
        <w:right w:val="none" w:sz="0" w:space="0" w:color="auto"/>
      </w:divBdr>
    </w:div>
    <w:div w:id="1924411230">
      <w:bodyDiv w:val="1"/>
      <w:marLeft w:val="0"/>
      <w:marRight w:val="0"/>
      <w:marTop w:val="0"/>
      <w:marBottom w:val="0"/>
      <w:divBdr>
        <w:top w:val="none" w:sz="0" w:space="0" w:color="auto"/>
        <w:left w:val="none" w:sz="0" w:space="0" w:color="auto"/>
        <w:bottom w:val="none" w:sz="0" w:space="0" w:color="auto"/>
        <w:right w:val="none" w:sz="0" w:space="0" w:color="auto"/>
      </w:divBdr>
      <w:divsChild>
        <w:div w:id="865218433">
          <w:marLeft w:val="225"/>
          <w:marRight w:val="225"/>
          <w:marTop w:val="225"/>
          <w:marBottom w:val="225"/>
          <w:divBdr>
            <w:top w:val="none" w:sz="0" w:space="0" w:color="auto"/>
            <w:left w:val="none" w:sz="0" w:space="0" w:color="auto"/>
            <w:bottom w:val="none" w:sz="0" w:space="0" w:color="auto"/>
            <w:right w:val="none" w:sz="0" w:space="0" w:color="auto"/>
          </w:divBdr>
        </w:div>
      </w:divsChild>
    </w:div>
    <w:div w:id="211898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3939</Words>
  <Characters>22453</Characters>
  <Application>Microsoft Office Word</Application>
  <DocSecurity>0</DocSecurity>
  <Lines>187</Lines>
  <Paragraphs>52</Paragraphs>
  <ScaleCrop>false</ScaleCrop>
  <Company>diakov.net</Company>
  <LinksUpToDate>false</LinksUpToDate>
  <CharactersWithSpaces>26340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27</cp:revision>
  <dcterms:created xsi:type="dcterms:W3CDTF">2021-08-10T02:26:00Z</dcterms:created>
  <dcterms:modified xsi:type="dcterms:W3CDTF">2021-08-10T03:00:00Z</dcterms:modified>
</cp:coreProperties>
</file>