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Федеральная служба по труду и занятости в ходе мониторинга СМИ выявила случаи противоправных действий в отношении бизнеса.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Мошенники рассылают работодателям письма и уведомления от имени Государственной инспекции труда с информацией о якобы выявленных признаках теневой занятости, нарушениях трудового законодательства или несоответствии отчетности, с использованием официальной символики, поддельных реквизитов и ссылок на нормы закона, что создает впечатление подлинности и оказывает давление на получателя.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В связи с чем Государственная инспекция труда в Иркутской области призывает работодателей к бдительности.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О ключевых правилах, позволяющих отличить законные действия инспектора от мошенничества, информирует руководител</w:t>
      </w:r>
      <w:r>
        <w:rPr>
          <w:color w:val="000000"/>
          <w:sz w:val="28"/>
          <w:szCs w:val="28"/>
          <w:shd w:fill="auto" w:val="clear"/>
        </w:rPr>
        <w:t>ь</w:t>
      </w:r>
      <w:r>
        <w:rPr>
          <w:color w:val="000000"/>
          <w:sz w:val="28"/>
          <w:szCs w:val="28"/>
          <w:shd w:fill="auto" w:val="clear"/>
        </w:rPr>
        <w:t xml:space="preserve"> Государственной инспекции труда в Иркутской области </w:t>
      </w:r>
      <w:r>
        <w:rPr>
          <w:color w:val="000000"/>
          <w:sz w:val="28"/>
          <w:szCs w:val="28"/>
          <w:shd w:fill="auto" w:val="clear"/>
        </w:rPr>
        <w:t>Юрышев А.В.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1. Единый стандарт официальных документов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Любое контрольное (надзорное) мероприятие должно быть инициировано только на основании официального решения. Форма этого документа строго регламентирована.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Типовые формы решений утверждены приказом Министерства экономического развития РФ от 31 марта 2021 г. № 151. Если направленный вам документ не соответствует утвержденному стандарту - это повод для незамедлительной проверки его подлинности.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2. QR-код - ваш главный инструмент защиты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На каждом официальном решении о проведении проверки в обязательном порядке должен быть размещен QR-код. 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Данный код является активной ссылкой: при его сканировании вы должны автоматически перейти на страницу конкретной записи в Едином реестре контрольных (надзорных) мероприятий (ЕРКНМ). Отсутствие графического ключа или его неработоспособность - прямое свидетельство нарушения регламента или попытки мошенничества.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3. Проверка через Единый реестр (ЕРКНМ)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Все без исключения мероприятия, проводимые надзорными органами, подлежат строгому учету. Информационная система ЕРКНМ обеспечивает прозрачность контроля.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4. Когда запрос сведений возможен без решения о проверке?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Важно понимать, что существуют исключительные случаи, предусмотренные законом, когда инспекторы труда могут запрашивать информацию или пояснения без вынесения официального решения о проверке. 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К таким ситуациям относятся:</w:t>
      </w:r>
    </w:p>
    <w:p>
      <w:pPr>
        <w:pStyle w:val="ListParagraph"/>
        <w:numPr>
          <w:ilvl w:val="0"/>
          <w:numId w:val="1"/>
        </w:numPr>
        <w:spacing w:lineRule="auto" w:line="276"/>
        <w:ind w:hanging="360" w:left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проведение оценки достоверности поступивших сведений;</w:t>
      </w:r>
    </w:p>
    <w:p>
      <w:pPr>
        <w:pStyle w:val="ListParagraph"/>
        <w:numPr>
          <w:ilvl w:val="0"/>
          <w:numId w:val="1"/>
        </w:numPr>
        <w:spacing w:lineRule="auto" w:line="276"/>
        <w:ind w:hanging="360" w:left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расследование несчастного случая на производстве;</w:t>
      </w:r>
    </w:p>
    <w:p>
      <w:pPr>
        <w:pStyle w:val="ListParagraph"/>
        <w:numPr>
          <w:ilvl w:val="0"/>
          <w:numId w:val="1"/>
        </w:numPr>
        <w:spacing w:lineRule="auto" w:line="276"/>
        <w:ind w:hanging="360" w:left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ведение производства по делу об административном правонарушении.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В данных случаях запросы также оформляются на официальных бланках ведомства с указанием конкретных законных оснований и полномочий должностного лица.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При возникновении любых сомнений в подлинности поступившего распоряжения, решения или запроса, а также если «проверяющие» ведут себя подозрительно, необходимо приостановить взаимодействие и обратиться за подтверждением в Государственн</w:t>
      </w:r>
      <w:r>
        <w:rPr>
          <w:color w:val="000000"/>
          <w:sz w:val="28"/>
          <w:szCs w:val="28"/>
          <w:shd w:fill="auto" w:val="clear"/>
        </w:rPr>
        <w:t>ую и</w:t>
      </w:r>
      <w:r>
        <w:rPr>
          <w:color w:val="000000"/>
          <w:sz w:val="28"/>
          <w:szCs w:val="28"/>
          <w:shd w:fill="auto" w:val="clear"/>
        </w:rPr>
        <w:t>нспекци</w:t>
      </w:r>
      <w:r>
        <w:rPr>
          <w:color w:val="000000"/>
          <w:sz w:val="28"/>
          <w:szCs w:val="28"/>
          <w:shd w:fill="auto" w:val="clear"/>
        </w:rPr>
        <w:t xml:space="preserve">ю </w:t>
      </w:r>
      <w:r>
        <w:rPr>
          <w:color w:val="000000"/>
          <w:sz w:val="28"/>
          <w:szCs w:val="28"/>
          <w:shd w:fill="auto" w:val="clear"/>
        </w:rPr>
        <w:t>труда в Иркутской области.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Контакты Государственной инспекции труда в Иркутской области: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Телефон «горячей линии»: +7 (3952) 20-54-21;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Приемная руководителя: +7 (3952) 20-54-24;</w:t>
      </w:r>
    </w:p>
    <w:p>
      <w:pPr>
        <w:pStyle w:val="Normal"/>
        <w:spacing w:lineRule="auto" w:line="276"/>
        <w:ind w:firstLine="709"/>
        <w:jc w:val="both"/>
        <w:rPr>
          <w:highlight w:val="none"/>
          <w:shd w:fill="auto" w:val="clear"/>
        </w:rPr>
      </w:pPr>
      <w:r>
        <w:rPr>
          <w:color w:val="000000"/>
          <w:sz w:val="28"/>
          <w:szCs w:val="28"/>
          <w:shd w:fill="auto" w:val="clear"/>
        </w:rPr>
        <w:t>Канцелярия : +7(3952) 45-85-03.</w:t>
      </w:r>
    </w:p>
    <w:p>
      <w:pPr>
        <w:pStyle w:val="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964" w:right="567" w:gutter="0" w:header="0" w:top="567" w:footer="301" w:bottom="567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Sylfaen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0589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0352"/>
      <w:gridCol w:w="236"/>
    </w:tblGrid>
    <w:tr>
      <w:trPr>
        <w:trHeight w:val="499" w:hRule="atLeast"/>
      </w:trPr>
      <w:tc>
        <w:tcPr>
          <w:tcW w:w="10352" w:type="dxa"/>
          <w:tcBorders/>
        </w:tcPr>
        <w:tbl>
          <w:tblPr>
            <w:tblW w:w="10158" w:type="dxa"/>
            <w:jc w:val="left"/>
            <w:tblInd w:w="540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  <w:tblLook w:val="04a0"/>
          </w:tblPr>
          <w:tblGrid>
            <w:gridCol w:w="5080"/>
            <w:gridCol w:w="5077"/>
          </w:tblGrid>
          <w:tr>
            <w:trPr>
              <w:trHeight w:val="246" w:hRule="atLeast"/>
            </w:trPr>
            <w:tc>
              <w:tcPr>
                <w:tcW w:w="5080" w:type="dxa"/>
                <w:tcBorders/>
              </w:tcPr>
              <w:p>
                <w:pPr>
                  <w:pStyle w:val="BodyTextIndented"/>
                  <w:ind w:hanging="0"/>
                  <w:rPr>
                    <w:sz w:val="20"/>
                  </w:rPr>
                </w:pPr>
                <w:r>
                  <w:rPr>
                    <w:sz w:val="20"/>
                  </w:rPr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jc w:val="right"/>
                  <w:rPr/>
                </w:pPr>
                <w:r>
                  <w:rPr/>
                </w:r>
              </w:p>
            </w:tc>
          </w:tr>
          <w:tr>
            <w:trPr>
              <w:trHeight w:val="260" w:hRule="atLeast"/>
            </w:trPr>
            <w:tc>
              <w:tcPr>
                <w:tcW w:w="5080" w:type="dxa"/>
                <w:tcBorders/>
              </w:tcPr>
              <w:p>
                <w:pPr>
                  <w:pStyle w:val="Footer"/>
                  <w:ind w:firstLine="34"/>
                  <w:rPr/>
                </w:pPr>
                <w:r>
                  <w:rPr/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rPr/>
                </w:pPr>
                <w:r>
                  <w:rPr/>
                </w:r>
              </w:p>
            </w:tc>
          </w:tr>
        </w:tbl>
        <w:p>
          <w:pPr>
            <w:pStyle w:val="Footer"/>
            <w:rPr/>
          </w:pPr>
          <w:r>
            <w:rPr/>
          </w:r>
        </w:p>
      </w:tc>
      <w:tc>
        <w:tcPr>
          <w:tcW w:w="236" w:type="dxa"/>
          <w:tcBorders/>
        </w:tcPr>
        <w:p>
          <w:pPr>
            <w:pStyle w:val="Footer"/>
            <w:jc w:val="right"/>
            <w:rPr/>
          </w:pPr>
          <w:r>
            <w:rPr/>
          </w:r>
        </w:p>
      </w:tc>
    </w:tr>
  </w:tbl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10589" w:type="dxa"/>
      <w:jc w:val="left"/>
      <w:tblInd w:w="108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0352"/>
      <w:gridCol w:w="236"/>
    </w:tblGrid>
    <w:tr>
      <w:trPr>
        <w:trHeight w:val="499" w:hRule="atLeast"/>
      </w:trPr>
      <w:tc>
        <w:tcPr>
          <w:tcW w:w="10352" w:type="dxa"/>
          <w:tcBorders/>
        </w:tcPr>
        <w:tbl>
          <w:tblPr>
            <w:tblW w:w="10158" w:type="dxa"/>
            <w:jc w:val="left"/>
            <w:tblInd w:w="540" w:type="dxa"/>
            <w:tblLayout w:type="fixed"/>
            <w:tblCellMar>
              <w:top w:w="0" w:type="dxa"/>
              <w:left w:w="108" w:type="dxa"/>
              <w:bottom w:w="0" w:type="dxa"/>
              <w:right w:w="108" w:type="dxa"/>
            </w:tblCellMar>
            <w:tblLook w:val="04a0"/>
          </w:tblPr>
          <w:tblGrid>
            <w:gridCol w:w="5080"/>
            <w:gridCol w:w="5077"/>
          </w:tblGrid>
          <w:tr>
            <w:trPr>
              <w:trHeight w:val="246" w:hRule="atLeast"/>
            </w:trPr>
            <w:tc>
              <w:tcPr>
                <w:tcW w:w="5080" w:type="dxa"/>
                <w:tcBorders/>
              </w:tcPr>
              <w:p>
                <w:pPr>
                  <w:pStyle w:val="BodyTextIndented"/>
                  <w:ind w:hanging="0"/>
                  <w:rPr>
                    <w:sz w:val="20"/>
                  </w:rPr>
                </w:pPr>
                <w:r>
                  <w:rPr>
                    <w:sz w:val="20"/>
                  </w:rPr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jc w:val="right"/>
                  <w:rPr/>
                </w:pPr>
                <w:r>
                  <w:rPr/>
                </w:r>
              </w:p>
            </w:tc>
          </w:tr>
          <w:tr>
            <w:trPr>
              <w:trHeight w:val="260" w:hRule="atLeast"/>
            </w:trPr>
            <w:tc>
              <w:tcPr>
                <w:tcW w:w="5080" w:type="dxa"/>
                <w:tcBorders/>
              </w:tcPr>
              <w:p>
                <w:pPr>
                  <w:pStyle w:val="Footer"/>
                  <w:ind w:firstLine="34"/>
                  <w:rPr/>
                </w:pPr>
                <w:r>
                  <w:rPr/>
                </w:r>
              </w:p>
            </w:tc>
            <w:tc>
              <w:tcPr>
                <w:tcW w:w="5077" w:type="dxa"/>
                <w:tcBorders/>
              </w:tcPr>
              <w:p>
                <w:pPr>
                  <w:pStyle w:val="Footer"/>
                  <w:rPr/>
                </w:pPr>
                <w:r>
                  <w:rPr/>
                </w:r>
              </w:p>
            </w:tc>
          </w:tr>
        </w:tbl>
        <w:p>
          <w:pPr>
            <w:pStyle w:val="Footer"/>
            <w:rPr/>
          </w:pPr>
          <w:r>
            <w:rPr/>
          </w:r>
        </w:p>
      </w:tc>
      <w:tc>
        <w:tcPr>
          <w:tcW w:w="236" w:type="dxa"/>
          <w:tcBorders/>
        </w:tcPr>
        <w:p>
          <w:pPr>
            <w:pStyle w:val="Footer"/>
            <w:jc w:val="right"/>
            <w:rPr/>
          </w:pPr>
          <w:r>
            <w:rPr/>
          </w:r>
        </w:p>
      </w:tc>
    </w:tr>
  </w:tbl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lock Text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0288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 w:customStyle="1">
    <w:name w:val="Heading 1"/>
    <w:basedOn w:val="Normal"/>
    <w:next w:val="Normal"/>
    <w:qFormat/>
    <w:rsid w:val="00602880"/>
    <w:pPr>
      <w:keepNext w:val="true"/>
      <w:ind w:left="-108" w:right="-108"/>
      <w:outlineLvl w:val="0"/>
    </w:pPr>
    <w:rPr>
      <w:sz w:val="24"/>
    </w:rPr>
  </w:style>
  <w:style w:type="paragraph" w:styleId="Heading2" w:customStyle="1">
    <w:name w:val="Heading 2"/>
    <w:basedOn w:val="Normal"/>
    <w:next w:val="Normal"/>
    <w:qFormat/>
    <w:rsid w:val="00602880"/>
    <w:pPr>
      <w:keepNext w:val="true"/>
      <w:ind w:left="-108" w:right="-108"/>
      <w:jc w:val="center"/>
      <w:outlineLvl w:val="1"/>
    </w:pPr>
    <w:rPr>
      <w:sz w:val="24"/>
    </w:rPr>
  </w:style>
  <w:style w:type="paragraph" w:styleId="Heading3" w:customStyle="1">
    <w:name w:val="Heading 3"/>
    <w:basedOn w:val="Normal"/>
    <w:next w:val="Normal"/>
    <w:link w:val="3"/>
    <w:uiPriority w:val="9"/>
    <w:semiHidden/>
    <w:unhideWhenUsed/>
    <w:qFormat/>
    <w:rsid w:val="00b51112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paragraph" w:styleId="Heading5" w:customStyle="1">
    <w:name w:val="Heading 5"/>
    <w:basedOn w:val="Normal"/>
    <w:next w:val="Normal"/>
    <w:qFormat/>
    <w:rsid w:val="00602880"/>
    <w:pPr>
      <w:keepNext w:val="true"/>
      <w:ind w:firstLine="108" w:left="-108" w:right="-108"/>
      <w:jc w:val="center"/>
      <w:outlineLvl w:val="4"/>
    </w:pPr>
    <w:rPr>
      <w:b/>
      <w:sz w:val="26"/>
    </w:rPr>
  </w:style>
  <w:style w:type="paragraph" w:styleId="Heading9" w:customStyle="1">
    <w:name w:val="Heading 9"/>
    <w:basedOn w:val="Normal"/>
    <w:next w:val="Normal"/>
    <w:qFormat/>
    <w:rsid w:val="00602880"/>
    <w:pPr>
      <w:keepNext w:val="true"/>
      <w:ind w:left="-108" w:right="-108"/>
      <w:jc w:val="center"/>
      <w:outlineLvl w:val="8"/>
    </w:pPr>
    <w:rPr>
      <w:b/>
      <w:sz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qFormat/>
    <w:rsid w:val="00602880"/>
    <w:rPr>
      <w:color w:val="0000FF"/>
      <w:u w:val="single"/>
    </w:rPr>
  </w:style>
  <w:style w:type="character" w:styleId="FollowedHyperlink">
    <w:name w:val="FollowedHyperlink"/>
    <w:semiHidden/>
    <w:rsid w:val="00602880"/>
    <w:rPr>
      <w:color w:val="800080"/>
      <w:u w:val="single"/>
    </w:rPr>
  </w:style>
  <w:style w:type="character" w:styleId="LineNumbering" w:customStyle="1">
    <w:name w:val="Line Numbering"/>
    <w:basedOn w:val="DefaultParagraphFont"/>
    <w:uiPriority w:val="99"/>
    <w:semiHidden/>
    <w:unhideWhenUsed/>
    <w:qFormat/>
    <w:rsid w:val="009c5f7b"/>
    <w:rPr/>
  </w:style>
  <w:style w:type="character" w:styleId="Style9" w:customStyle="1">
    <w:name w:val="Текст концевой сноски Знак"/>
    <w:basedOn w:val="DefaultParagraphFont"/>
    <w:uiPriority w:val="99"/>
    <w:semiHidden/>
    <w:qFormat/>
    <w:rsid w:val="009c5f7b"/>
    <w:rPr/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EndnoteCharacters1" w:customStyle="1">
    <w:name w:val="Endnote Characters1"/>
    <w:qFormat/>
    <w:rsid w:val="00091d46"/>
    <w:rPr>
      <w:vertAlign w:val="superscript"/>
    </w:rPr>
  </w:style>
  <w:style w:type="character" w:styleId="EndnoteCharacters11" w:customStyle="1">
    <w:name w:val="Endnote Characters11"/>
    <w:qFormat/>
    <w:rsid w:val="00091d46"/>
    <w:rPr>
      <w:vertAlign w:val="superscript"/>
    </w:rPr>
  </w:style>
  <w:style w:type="character" w:styleId="EndnoteCharacters111" w:customStyle="1">
    <w:name w:val="Endnote Characters111"/>
    <w:qFormat/>
    <w:rsid w:val="00091d46"/>
    <w:rPr>
      <w:vertAlign w:val="superscript"/>
    </w:rPr>
  </w:style>
  <w:style w:type="character" w:styleId="EndnoteCharacters1111" w:customStyle="1">
    <w:name w:val="Endnote Characters1111"/>
    <w:uiPriority w:val="99"/>
    <w:semiHidden/>
    <w:unhideWhenUsed/>
    <w:qFormat/>
    <w:rsid w:val="009c5f7b"/>
    <w:rPr>
      <w:vertAlign w:val="superscript"/>
    </w:rPr>
  </w:style>
  <w:style w:type="character" w:styleId="Style10" w:customStyle="1">
    <w:name w:val="Основной текст с отступом Знак"/>
    <w:basedOn w:val="DefaultParagraphFont"/>
    <w:link w:val="BodyTextIndented"/>
    <w:qFormat/>
    <w:rsid w:val="0072634b"/>
    <w:rPr>
      <w:sz w:val="26"/>
    </w:rPr>
  </w:style>
  <w:style w:type="character" w:styleId="blk" w:customStyle="1">
    <w:name w:val="blk"/>
    <w:basedOn w:val="DefaultParagraphFont"/>
    <w:qFormat/>
    <w:rsid w:val="00ea34a7"/>
    <w:rPr/>
  </w:style>
  <w:style w:type="character" w:styleId="Style11" w:customStyle="1">
    <w:name w:val="Основной текст Знак"/>
    <w:basedOn w:val="DefaultParagraphFont"/>
    <w:qFormat/>
    <w:rsid w:val="00ea34a7"/>
    <w:rPr>
      <w:sz w:val="24"/>
    </w:rPr>
  </w:style>
  <w:style w:type="character" w:styleId="Style12" w:customStyle="1">
    <w:name w:val="Цветовое выделение"/>
    <w:qFormat/>
    <w:rsid w:val="0074223f"/>
    <w:rPr>
      <w:b/>
      <w:bCs/>
      <w:color w:val="000080"/>
    </w:rPr>
  </w:style>
  <w:style w:type="character" w:styleId="1" w:customStyle="1">
    <w:name w:val="Основной текст Знак1"/>
    <w:basedOn w:val="DefaultParagraphFont"/>
    <w:uiPriority w:val="99"/>
    <w:qFormat/>
    <w:rsid w:val="005b7823"/>
    <w:rPr>
      <w:rFonts w:ascii="Sylfaen" w:hAnsi="Sylfaen" w:cs="Sylfaen"/>
      <w:sz w:val="21"/>
      <w:szCs w:val="21"/>
      <w:shd w:fill="FFFFFF" w:val="clear"/>
    </w:rPr>
  </w:style>
  <w:style w:type="character" w:styleId="Strong">
    <w:name w:val="Strong"/>
    <w:basedOn w:val="DefaultParagraphFont"/>
    <w:uiPriority w:val="22"/>
    <w:qFormat/>
    <w:rsid w:val="00e577e1"/>
    <w:rPr>
      <w:b/>
      <w:bCs/>
    </w:rPr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47610c"/>
    <w:rPr>
      <w:rFonts w:ascii="Courier New" w:hAnsi="Courier New" w:cs="Courier New"/>
    </w:rPr>
  </w:style>
  <w:style w:type="character" w:styleId="3" w:customStyle="1">
    <w:name w:val="Заголовок 3 Знак"/>
    <w:basedOn w:val="DefaultParagraphFont"/>
    <w:uiPriority w:val="9"/>
    <w:semiHidden/>
    <w:qFormat/>
    <w:rsid w:val="00b51112"/>
    <w:rPr>
      <w:rFonts w:ascii="Cambria" w:hAnsi="Cambria" w:eastAsia="" w:cs="" w:asciiTheme="majorHAnsi" w:cstheme="majorBidi" w:eastAsiaTheme="majorEastAsia" w:hAnsiTheme="majorHAnsi"/>
      <w:color w:themeColor="accent1" w:themeShade="7f" w:val="243F60"/>
      <w:sz w:val="24"/>
      <w:szCs w:val="24"/>
    </w:rPr>
  </w:style>
  <w:style w:type="character" w:styleId="Style13" w:customStyle="1">
    <w:name w:val="Верхний колонтитул Знак"/>
    <w:basedOn w:val="DefaultParagraphFont"/>
    <w:uiPriority w:val="99"/>
    <w:semiHidden/>
    <w:qFormat/>
    <w:rsid w:val="003e3116"/>
    <w:rPr/>
  </w:style>
  <w:style w:type="paragraph" w:styleId="Style14" w:customStyle="1">
    <w:name w:val="Заголовок"/>
    <w:basedOn w:val="Normal"/>
    <w:next w:val="BodyText"/>
    <w:qFormat/>
    <w:rsid w:val="00091d46"/>
    <w:pPr>
      <w:keepNext w:val="true"/>
      <w:spacing w:before="240" w:after="120"/>
    </w:pPr>
    <w:rPr>
      <w:rFonts w:ascii="Liberation Sans" w:hAnsi="Liberation Sans" w:eastAsia="Tahoma" w:cs="Droid Sans"/>
      <w:sz w:val="28"/>
      <w:szCs w:val="28"/>
    </w:rPr>
  </w:style>
  <w:style w:type="paragraph" w:styleId="BodyText">
    <w:name w:val="Body Text"/>
    <w:basedOn w:val="Normal"/>
    <w:link w:val="Style11"/>
    <w:rsid w:val="00602880"/>
    <w:pPr/>
    <w:rPr>
      <w:sz w:val="24"/>
    </w:rPr>
  </w:style>
  <w:style w:type="paragraph" w:styleId="List">
    <w:name w:val="List"/>
    <w:basedOn w:val="BodyText"/>
    <w:rsid w:val="00091d46"/>
    <w:pPr/>
    <w:rPr>
      <w:rFonts w:cs="Droid Sans"/>
    </w:rPr>
  </w:style>
  <w:style w:type="paragraph" w:styleId="Caption" w:customStyle="1">
    <w:name w:val="Caption"/>
    <w:basedOn w:val="Normal"/>
    <w:qFormat/>
    <w:rsid w:val="00091d46"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rsid w:val="00091d46"/>
    <w:pPr>
      <w:suppressLineNumbers/>
    </w:pPr>
    <w:rPr>
      <w:rFonts w:cs="Droid Sans"/>
    </w:rPr>
  </w:style>
  <w:style w:type="paragraph" w:styleId="BalloonText">
    <w:name w:val="Balloon Text"/>
    <w:basedOn w:val="Normal"/>
    <w:semiHidden/>
    <w:qFormat/>
    <w:rsid w:val="00602880"/>
    <w:pPr/>
    <w:rPr>
      <w:rFonts w:ascii="Tahoma" w:hAnsi="Tahoma" w:cs="Tahoma"/>
      <w:sz w:val="16"/>
      <w:szCs w:val="16"/>
    </w:rPr>
  </w:style>
  <w:style w:type="paragraph" w:styleId="BodyTextIndented" w:customStyle="1">
    <w:name w:val="Body Text;Indented"/>
    <w:basedOn w:val="Normal"/>
    <w:link w:val="Style10"/>
    <w:qFormat/>
    <w:rsid w:val="00602880"/>
    <w:pPr>
      <w:ind w:firstLine="567"/>
      <w:jc w:val="both"/>
    </w:pPr>
    <w:rPr>
      <w:sz w:val="26"/>
    </w:rPr>
  </w:style>
  <w:style w:type="paragraph" w:styleId="BlockText">
    <w:name w:val="Block Text"/>
    <w:basedOn w:val="Normal"/>
    <w:semiHidden/>
    <w:qFormat/>
    <w:rsid w:val="00602880"/>
    <w:pPr>
      <w:ind w:left="-108" w:right="-108"/>
    </w:pPr>
    <w:rPr>
      <w:color w:val="0000FF"/>
      <w:sz w:val="26"/>
    </w:rPr>
  </w:style>
  <w:style w:type="paragraph" w:styleId="HeaderandFooter" w:customStyle="1">
    <w:name w:val="Header and Footer"/>
    <w:basedOn w:val="Normal"/>
    <w:qFormat/>
    <w:rsid w:val="00091d46"/>
    <w:pPr/>
    <w:rPr/>
  </w:style>
  <w:style w:type="paragraph" w:styleId="Header">
    <w:name w:val="Header"/>
    <w:basedOn w:val="Normal"/>
    <w:link w:val="Style13"/>
    <w:uiPriority w:val="99"/>
    <w:semiHidden/>
    <w:unhideWhenUsed/>
    <w:rsid w:val="003e3116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 w:customStyle="1">
    <w:name w:val="Footer"/>
    <w:basedOn w:val="Normal"/>
    <w:semiHidden/>
    <w:rsid w:val="00602880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EndnoteText" w:customStyle="1">
    <w:name w:val="Endnote Text"/>
    <w:basedOn w:val="Normal"/>
    <w:link w:val="Style9"/>
    <w:uiPriority w:val="99"/>
    <w:semiHidden/>
    <w:unhideWhenUsed/>
    <w:rsid w:val="009c5f7b"/>
    <w:pPr/>
    <w:rPr/>
  </w:style>
  <w:style w:type="paragraph" w:styleId="11" w:customStyle="1">
    <w:name w:val="Без интервала1"/>
    <w:qFormat/>
    <w:rsid w:val="00ea34a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ConsPlusNormal" w:customStyle="1">
    <w:name w:val="ConsPlusNormal"/>
    <w:qFormat/>
    <w:rsid w:val="005b788f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16"/>
      <w:szCs w:val="16"/>
      <w:lang w:val="ru-RU" w:eastAsia="ru-RU" w:bidi="ar-SA"/>
    </w:rPr>
  </w:style>
  <w:style w:type="paragraph" w:styleId="s1" w:customStyle="1">
    <w:name w:val="s_1"/>
    <w:basedOn w:val="Normal"/>
    <w:qFormat/>
    <w:rsid w:val="00ac3337"/>
    <w:pPr>
      <w:spacing w:beforeAutospacing="1" w:afterAutospacing="1"/>
    </w:pPr>
    <w:rPr>
      <w:sz w:val="24"/>
      <w:szCs w:val="24"/>
    </w:rPr>
  </w:style>
  <w:style w:type="paragraph" w:styleId="Style71" w:customStyle="1">
    <w:name w:val="Style7"/>
    <w:basedOn w:val="Normal"/>
    <w:qFormat/>
    <w:rsid w:val="00ac3337"/>
    <w:pPr>
      <w:widowControl w:val="false"/>
      <w:spacing w:lineRule="exact" w:line="322"/>
      <w:jc w:val="center"/>
    </w:pPr>
    <w:rPr>
      <w:rFonts w:eastAsia="Arial Unicode MS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2977c8"/>
    <w:pPr>
      <w:spacing w:beforeAutospacing="1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84c68"/>
    <w:pPr>
      <w:spacing w:before="0" w:after="0"/>
      <w:ind w:left="720"/>
      <w:contextualSpacing/>
    </w:pPr>
    <w:rPr>
      <w:sz w:val="24"/>
      <w:szCs w:val="24"/>
      <w:lang w:eastAsia="zh-CN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47610c"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</w:rPr>
  </w:style>
  <w:style w:type="numbering" w:styleId="Style16" w:customStyle="1">
    <w:name w:val="Без списка"/>
    <w:uiPriority w:val="99"/>
    <w:semiHidden/>
    <w:unhideWhenUsed/>
    <w:qFormat/>
    <w:rsid w:val="00091d46"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2533f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Application>LibreOffice/24.2.6.2$Linux_X86_64 LibreOffice_project/420$Build-2</Application>
  <AppVersion>15.0000</AppVersion>
  <Pages>2</Pages>
  <Words>358</Words>
  <Characters>2586</Characters>
  <CharactersWithSpaces>2919</CharactersWithSpaces>
  <Paragraphs>24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2020-06-10T01:48:00Z</dcterms:created>
  <dc:creator>Нечаев</dc:creator>
  <dc:description/>
  <dc:language>ru-RU</dc:language>
  <cp:lastModifiedBy/>
  <cp:lastPrinted>2026-03-17T14:08:00Z</cp:lastPrinted>
  <dcterms:modified xsi:type="dcterms:W3CDTF">2026-03-31T13:48:57Z</dcterms:modified>
  <cp:revision>79</cp:revision>
  <dc:subject/>
  <dc:title>Бланк ГИТ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