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4677"/>
        <w:gridCol w:w="4677"/>
      </w:tblGrid>
      <w:tr w:rsidR="008707C0">
        <w:tc>
          <w:tcPr>
            <w:tcW w:w="4677" w:type="dxa"/>
          </w:tcPr>
          <w:p w:rsidR="008707C0" w:rsidRDefault="008707C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27 марта 2025 года</w:t>
            </w:r>
          </w:p>
        </w:tc>
        <w:tc>
          <w:tcPr>
            <w:tcW w:w="4677" w:type="dxa"/>
          </w:tcPr>
          <w:p w:rsidR="008707C0" w:rsidRDefault="008707C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N 18-ОЗ</w:t>
            </w:r>
          </w:p>
        </w:tc>
      </w:tr>
    </w:tbl>
    <w:p w:rsidR="008707C0" w:rsidRDefault="008707C0" w:rsidP="008707C0">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8707C0" w:rsidRDefault="008707C0" w:rsidP="008707C0">
      <w:pPr>
        <w:autoSpaceDE w:val="0"/>
        <w:autoSpaceDN w:val="0"/>
        <w:adjustRightInd w:val="0"/>
        <w:spacing w:after="0" w:line="240" w:lineRule="auto"/>
        <w:jc w:val="both"/>
        <w:outlineLvl w:val="0"/>
        <w:rPr>
          <w:rFonts w:ascii="Times New Roman" w:hAnsi="Times New Roman" w:cs="Times New Roman"/>
          <w:sz w:val="24"/>
          <w:szCs w:val="24"/>
        </w:rPr>
      </w:pPr>
    </w:p>
    <w:p w:rsidR="008707C0" w:rsidRDefault="008707C0" w:rsidP="008707C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ЗАКОН</w:t>
      </w:r>
    </w:p>
    <w:p w:rsidR="008707C0" w:rsidRDefault="008707C0" w:rsidP="008707C0">
      <w:pPr>
        <w:autoSpaceDE w:val="0"/>
        <w:autoSpaceDN w:val="0"/>
        <w:adjustRightInd w:val="0"/>
        <w:spacing w:after="0" w:line="240" w:lineRule="auto"/>
        <w:jc w:val="both"/>
        <w:rPr>
          <w:rFonts w:ascii="Times New Roman" w:hAnsi="Times New Roman" w:cs="Times New Roman"/>
          <w:b/>
          <w:bCs/>
          <w:sz w:val="24"/>
          <w:szCs w:val="24"/>
        </w:rPr>
      </w:pPr>
    </w:p>
    <w:p w:rsidR="008707C0" w:rsidRDefault="008707C0" w:rsidP="008707C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ИРКУТСКОЙ ОБЛАСТИ</w:t>
      </w:r>
    </w:p>
    <w:p w:rsidR="008707C0" w:rsidRDefault="008707C0" w:rsidP="008707C0">
      <w:pPr>
        <w:autoSpaceDE w:val="0"/>
        <w:autoSpaceDN w:val="0"/>
        <w:adjustRightInd w:val="0"/>
        <w:spacing w:after="0" w:line="240" w:lineRule="auto"/>
        <w:jc w:val="both"/>
        <w:rPr>
          <w:rFonts w:ascii="Times New Roman" w:hAnsi="Times New Roman" w:cs="Times New Roman"/>
          <w:b/>
          <w:bCs/>
          <w:sz w:val="24"/>
          <w:szCs w:val="24"/>
        </w:rPr>
      </w:pPr>
    </w:p>
    <w:p w:rsidR="008707C0" w:rsidRDefault="008707C0" w:rsidP="008707C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ОБ АДМИНИСТРАТИВНОЙ ОТВЕТСТВЕННОСТИ </w:t>
      </w:r>
      <w:proofErr w:type="gramStart"/>
      <w:r>
        <w:rPr>
          <w:rFonts w:ascii="Times New Roman" w:hAnsi="Times New Roman" w:cs="Times New Roman"/>
          <w:b/>
          <w:bCs/>
          <w:sz w:val="24"/>
          <w:szCs w:val="24"/>
        </w:rPr>
        <w:t>ЗА</w:t>
      </w:r>
      <w:proofErr w:type="gramEnd"/>
      <w:r>
        <w:rPr>
          <w:rFonts w:ascii="Times New Roman" w:hAnsi="Times New Roman" w:cs="Times New Roman"/>
          <w:b/>
          <w:bCs/>
          <w:sz w:val="24"/>
          <w:szCs w:val="24"/>
        </w:rPr>
        <w:t xml:space="preserve"> ОТДЕЛЬНЫЕ</w:t>
      </w:r>
    </w:p>
    <w:p w:rsidR="008707C0" w:rsidRDefault="008707C0" w:rsidP="008707C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ПРАВОНАРУШЕНИЯ В ОБЛАСТИ ЭКСПЛУАТАЦИИ И СОДЕРЖАНИЯ ОБЪЕКТОВ</w:t>
      </w:r>
    </w:p>
    <w:p w:rsidR="008707C0" w:rsidRDefault="008707C0" w:rsidP="008707C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 ЭЛЕМЕНТОВ БЛАГОУСТРОЙСТВА (ИНФРАСТРУКТУРЫ) ТЕРРИТОРИЙ</w:t>
      </w:r>
    </w:p>
    <w:p w:rsidR="008707C0" w:rsidRDefault="008707C0" w:rsidP="008707C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МУНИЦИПАЛЬНЫХ ОБРАЗОВАНИЙ ИРКУТСКОЙ ОБЛАСТИ</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jc w:val="right"/>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p>
    <w:p w:rsidR="008707C0" w:rsidRDefault="008707C0" w:rsidP="008707C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постановлением</w:t>
      </w:r>
    </w:p>
    <w:p w:rsidR="008707C0" w:rsidRDefault="008707C0" w:rsidP="008707C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Законодательного Собрания</w:t>
      </w:r>
    </w:p>
    <w:p w:rsidR="008707C0" w:rsidRDefault="008707C0" w:rsidP="008707C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Иркутской области</w:t>
      </w:r>
    </w:p>
    <w:p w:rsidR="008707C0" w:rsidRDefault="008707C0" w:rsidP="008707C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19 марта 2025 года</w:t>
      </w:r>
    </w:p>
    <w:p w:rsidR="008707C0" w:rsidRDefault="008707C0" w:rsidP="008707C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N 22/4-ЗС</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 Предмет регулирования настоящего Закона</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Настоящий Закон в соответствии с </w:t>
      </w:r>
      <w:hyperlink r:id="rId5"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 в целях обеспечения и повышения комфортности условий проживания граждан, поддержания и улучшения эстетического состояния территорий муниципальных образований Иркутской области устанавливает административную ответственность за нарушение отдельных требований муниципальных правовых актов в области эксплуатации и содержания объектов и элементов благоустройства (инфраструктуры) территорий муниципальных образований Иркутской области.</w:t>
      </w:r>
      <w:proofErr w:type="gramEnd"/>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2. Нарушение порядка проведения земляных работ, установленного муниципальными правовыми актами</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Нарушение порядка проведения земляных работ, установленного муниципальными правовыми актами, выразившееся в производстве земляных работ без разрешения на осуществление земляных работ,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двух тысяч до четырех тысяч рублей; на должностных лиц - от десяти тысяч до пятнадцати тысяч рублей; на юридических лиц - от тридцати тысяч до шестидесяти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bookmarkStart w:id="0" w:name="Par27"/>
      <w:bookmarkEnd w:id="0"/>
      <w:r>
        <w:rPr>
          <w:rFonts w:ascii="Times New Roman" w:hAnsi="Times New Roman" w:cs="Times New Roman"/>
          <w:sz w:val="24"/>
          <w:szCs w:val="24"/>
        </w:rPr>
        <w:t>2. Нарушение порядка проведения земляных работ, установленного муниципальными правовыми актами, выразившееся в нарушении сроков проведения работ, проводимых на участках территорий общего пользования,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двух тысяч до четырех тысяч рублей; на должностных лиц - от десяти тысяч до пятнадцати тысяч рублей; на юридических лиц - от тридцати тысяч до шестидесяти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bookmarkStart w:id="1" w:name="Par29"/>
      <w:bookmarkEnd w:id="1"/>
      <w:r>
        <w:rPr>
          <w:rFonts w:ascii="Times New Roman" w:hAnsi="Times New Roman" w:cs="Times New Roman"/>
          <w:sz w:val="24"/>
          <w:szCs w:val="24"/>
        </w:rPr>
        <w:t xml:space="preserve">3. Нарушение сроков восстановления элементов благоустройства после проведения земляных работ, если указанные действия не образуют состава административного правонарушения, предусмотренного </w:t>
      </w:r>
      <w:hyperlink r:id="rId6" w:history="1">
        <w:r>
          <w:rPr>
            <w:rFonts w:ascii="Times New Roman" w:hAnsi="Times New Roman" w:cs="Times New Roman"/>
            <w:color w:val="0000FF"/>
            <w:sz w:val="24"/>
            <w:szCs w:val="24"/>
          </w:rPr>
          <w:t>статьями 6.3</w:t>
        </w:r>
      </w:hyperlink>
      <w:r>
        <w:rPr>
          <w:rFonts w:ascii="Times New Roman" w:hAnsi="Times New Roman" w:cs="Times New Roman"/>
          <w:sz w:val="24"/>
          <w:szCs w:val="24"/>
        </w:rPr>
        <w:t xml:space="preserve">, </w:t>
      </w:r>
      <w:hyperlink r:id="rId7" w:history="1">
        <w:r>
          <w:rPr>
            <w:rFonts w:ascii="Times New Roman" w:hAnsi="Times New Roman" w:cs="Times New Roman"/>
            <w:color w:val="0000FF"/>
            <w:sz w:val="24"/>
            <w:szCs w:val="24"/>
          </w:rPr>
          <w:t>6.4</w:t>
        </w:r>
      </w:hyperlink>
      <w:r>
        <w:rPr>
          <w:rFonts w:ascii="Times New Roman" w:hAnsi="Times New Roman" w:cs="Times New Roman"/>
          <w:sz w:val="24"/>
          <w:szCs w:val="24"/>
        </w:rPr>
        <w:t xml:space="preserve">, </w:t>
      </w:r>
      <w:hyperlink r:id="rId8" w:history="1">
        <w:r>
          <w:rPr>
            <w:rFonts w:ascii="Times New Roman" w:hAnsi="Times New Roman" w:cs="Times New Roman"/>
            <w:color w:val="0000FF"/>
            <w:sz w:val="24"/>
            <w:szCs w:val="24"/>
          </w:rPr>
          <w:t>8.1</w:t>
        </w:r>
      </w:hyperlink>
      <w:r>
        <w:rPr>
          <w:rFonts w:ascii="Times New Roman" w:hAnsi="Times New Roman" w:cs="Times New Roman"/>
          <w:sz w:val="24"/>
          <w:szCs w:val="24"/>
        </w:rPr>
        <w:t xml:space="preserve">, </w:t>
      </w:r>
      <w:hyperlink r:id="rId9" w:history="1">
        <w:r>
          <w:rPr>
            <w:rFonts w:ascii="Times New Roman" w:hAnsi="Times New Roman" w:cs="Times New Roman"/>
            <w:color w:val="0000FF"/>
            <w:sz w:val="24"/>
            <w:szCs w:val="24"/>
          </w:rPr>
          <w:t>8.7</w:t>
        </w:r>
      </w:hyperlink>
      <w:r>
        <w:rPr>
          <w:rFonts w:ascii="Times New Roman" w:hAnsi="Times New Roman" w:cs="Times New Roman"/>
          <w:sz w:val="24"/>
          <w:szCs w:val="24"/>
        </w:rPr>
        <w:t xml:space="preserve">, </w:t>
      </w:r>
      <w:hyperlink r:id="rId10" w:history="1">
        <w:r>
          <w:rPr>
            <w:rFonts w:ascii="Times New Roman" w:hAnsi="Times New Roman" w:cs="Times New Roman"/>
            <w:color w:val="0000FF"/>
            <w:sz w:val="24"/>
            <w:szCs w:val="24"/>
          </w:rPr>
          <w:t>8.8</w:t>
        </w:r>
      </w:hyperlink>
      <w:r>
        <w:rPr>
          <w:rFonts w:ascii="Times New Roman" w:hAnsi="Times New Roman" w:cs="Times New Roman"/>
          <w:sz w:val="24"/>
          <w:szCs w:val="24"/>
        </w:rPr>
        <w:t xml:space="preserve">, </w:t>
      </w:r>
      <w:hyperlink r:id="rId11" w:history="1">
        <w:r>
          <w:rPr>
            <w:rFonts w:ascii="Times New Roman" w:hAnsi="Times New Roman" w:cs="Times New Roman"/>
            <w:color w:val="0000FF"/>
            <w:sz w:val="24"/>
            <w:szCs w:val="24"/>
          </w:rPr>
          <w:t>8.9</w:t>
        </w:r>
      </w:hyperlink>
      <w:r>
        <w:rPr>
          <w:rFonts w:ascii="Times New Roman" w:hAnsi="Times New Roman" w:cs="Times New Roman"/>
          <w:sz w:val="24"/>
          <w:szCs w:val="24"/>
        </w:rPr>
        <w:t xml:space="preserve"> Кодекса Российской Федерации об административных правонарушениях,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влечет предупреждение или наложение административного штрафа на граждан в размере от двух тысяч до четырех тысяч рублей; на должностных лиц - от десяти тысяч до пятнадцати тысяч рублей; на юридических лиц - от тридцати тысяч до шестидесяти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Нарушение порядка проведения земляных работ, установленного муниципальными правовыми актами, выразившееся в отсутствии ограждения территории производства земляных работ,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двух тысяч до четырех тысяч рублей; на должностных лиц - от десяти тысяч до пятнадцати тысяч рублей; на юридических лиц - от тридцати тысяч до шестидесяти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Нарушение порядка проведения земляных работ, установленного муниципальными правовыми актами, выразившееся в отсутствии в местах перехода через выемки, траншеи, ямы, канавы переходных мостиков и ограждения с обеих сторон перилами,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двух тысяч до четырех тысяч рублей; на должностных лиц - от десяти тысяч до пятнадцати тысяч рублей; на юридических лиц - от тридцати тысяч до шестидесяти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Действия, предусмотренные </w:t>
      </w:r>
      <w:hyperlink w:anchor="Par27" w:history="1">
        <w:r>
          <w:rPr>
            <w:rFonts w:ascii="Times New Roman" w:hAnsi="Times New Roman" w:cs="Times New Roman"/>
            <w:color w:val="0000FF"/>
            <w:sz w:val="24"/>
            <w:szCs w:val="24"/>
          </w:rPr>
          <w:t>частями 2</w:t>
        </w:r>
      </w:hyperlink>
      <w:r>
        <w:rPr>
          <w:rFonts w:ascii="Times New Roman" w:hAnsi="Times New Roman" w:cs="Times New Roman"/>
          <w:sz w:val="24"/>
          <w:szCs w:val="24"/>
        </w:rPr>
        <w:t xml:space="preserve"> и </w:t>
      </w:r>
      <w:hyperlink w:anchor="Par29" w:history="1">
        <w:r>
          <w:rPr>
            <w:rFonts w:ascii="Times New Roman" w:hAnsi="Times New Roman" w:cs="Times New Roman"/>
            <w:color w:val="0000FF"/>
            <w:sz w:val="24"/>
            <w:szCs w:val="24"/>
          </w:rPr>
          <w:t>3</w:t>
        </w:r>
      </w:hyperlink>
      <w:r>
        <w:rPr>
          <w:rFonts w:ascii="Times New Roman" w:hAnsi="Times New Roman" w:cs="Times New Roman"/>
          <w:sz w:val="24"/>
          <w:szCs w:val="24"/>
        </w:rPr>
        <w:t xml:space="preserve"> настоящей статьи, повлекшие прекращение электр</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и (или) тепло-, и (или) водоснабжения, и (или) водоотведения индивидуальных жилых домов, многоквартирных домов, учреждений здравоохранения и образования муниципальных образований Иркутской области,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влекут предупреждение или наложение административного штрафа на граждан в размере от трех тысяч до пяти тысяч рублей; на должностных лиц - от пятнадцати тысяч до двадцати пяти тысяч рублей; на юридических лиц - от шестидесяти тысяч до ста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Примечания:</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Под земляными работами понимаются работы, проводимые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 в процессе которых осуществляются вскрытие и (или) перемещение грунта, вскрытие дорожного покрытия или иное нарушение благоустройства территории муниципального образования.</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Положения настоящей статьи не распространяются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земельные участки, предоставленные для целей строительства, реконструкции объектов капитального строительства, работы на которых осуществляются на основании разрешения на строительство;</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действия, направленные на предотвращение и ликвидацию последствий стихийных бедствий, иных чрезвычайных ситуаций, проведение неотложных работ по восстановлению объектов жизнеобеспечения населения.</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3. Нарушение требований муниципальных правовых актов к сносу (вырубке), обрезке, пересадке зеленых насаждений, повреждение зеленых насаждений, уничтожение зеленых насаждений без соответствующего разрешения органов местного самоуправления</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1. Снос (вырубка), обрезка, пересадка зеленых насаждений, </w:t>
      </w:r>
      <w:proofErr w:type="gramStart"/>
      <w:r>
        <w:rPr>
          <w:rFonts w:ascii="Times New Roman" w:hAnsi="Times New Roman" w:cs="Times New Roman"/>
          <w:sz w:val="24"/>
          <w:szCs w:val="24"/>
        </w:rPr>
        <w:t>произведенные</w:t>
      </w:r>
      <w:proofErr w:type="gramEnd"/>
      <w:r>
        <w:rPr>
          <w:rFonts w:ascii="Times New Roman" w:hAnsi="Times New Roman" w:cs="Times New Roman"/>
          <w:sz w:val="24"/>
          <w:szCs w:val="24"/>
        </w:rPr>
        <w:t xml:space="preserve"> с нарушением требований, установленных муниципальными правовыми актами,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влекут предупреждение или наложение административного штрафа на граждан в размере от двух тысяч до четырех тысяч рублей; на должностных лиц - от четырех тысяч до восьми тысяч рублей; на юридических лиц - от десяти тысяч до пятнадцати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Повреждение зеленых насаждений, уничтожение зеленых насаждений без соответствующего разрешения органов местного самоуправления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влекут предупреждение или наложение административного штрафа на граждан в размере от четырех тысяч до пяти тысяч рублей; на должностных лиц - от шести тысяч до десяти тысяч рублей; на юридических лиц - от пятнадцати тысяч до двадцати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bookmarkStart w:id="2" w:name="Par49"/>
      <w:bookmarkEnd w:id="2"/>
      <w:r>
        <w:rPr>
          <w:rFonts w:ascii="Times New Roman" w:hAnsi="Times New Roman" w:cs="Times New Roman"/>
          <w:sz w:val="24"/>
          <w:szCs w:val="24"/>
        </w:rPr>
        <w:t>3. Размещение транспортных средств на территориях, занятых зелеными насаждениями, газонами,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десяти тысяч до двадцати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Примечание. Для целей применения настоящей статьи под газоном понимается покрытая травянистой и (или) древесно-кустарниковой растительностью естественного или искусственного происхождения либо предназначенная для озеленения поверхность земельного участка, имеющая ограничение в виде бортового камня (</w:t>
      </w:r>
      <w:proofErr w:type="spellStart"/>
      <w:r>
        <w:rPr>
          <w:rFonts w:ascii="Times New Roman" w:hAnsi="Times New Roman" w:cs="Times New Roman"/>
          <w:sz w:val="24"/>
          <w:szCs w:val="24"/>
        </w:rPr>
        <w:t>поребрика</w:t>
      </w:r>
      <w:proofErr w:type="spellEnd"/>
      <w:r>
        <w:rPr>
          <w:rFonts w:ascii="Times New Roman" w:hAnsi="Times New Roman" w:cs="Times New Roman"/>
          <w:sz w:val="24"/>
          <w:szCs w:val="24"/>
        </w:rPr>
        <w:t>, бордюра) и (или) граничащая с твердым покрытием пешеходных дорожек, тротуаров, проезжей частью дорог.</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4. Нарушение установленных муниципальными правовыми актами требований к содержанию ограждений (ограждающих конструкций)</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Нарушение правообладателем земельного участка, на котором расположены ограждение или ограждающая конструкция строительной площадки, места проведения ремонтных и иных работ, требований муниципальных правовых актов к содержанию ограждений (ограждающих конструкций), выразившееся в непринятии мер по обеспечению ухода за внешним видом ограждения, устранению повреждений конструктивных элементов ограждения, очистке ограждения от загрязнений, ржавчины, объявлений, надписей, рисунков, графических изображений, рекламной информации, в нарушении вертикальности ограждения</w:t>
      </w:r>
      <w:proofErr w:type="gramEnd"/>
      <w:r>
        <w:rPr>
          <w:rFonts w:ascii="Times New Roman" w:hAnsi="Times New Roman" w:cs="Times New Roman"/>
          <w:sz w:val="24"/>
          <w:szCs w:val="24"/>
        </w:rPr>
        <w:t xml:space="preserve">, если указанные действия не содержат состава административного правонарушения, предусмотренного </w:t>
      </w:r>
      <w:hyperlink r:id="rId12"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десяти тысяч рублей; на юридических лиц - от пяти тысяч до пятидесяти тысяч рублей.</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5. Нарушение установленных муниципальными правовыми актами требований о размещении транспортных средств на объектах благоустройства</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Нарушение требований муниципальных правовых актов о размещении транспортных средств на объектах благоустройства, выразившееся в размещении транспортных средств на детских площадках, за исключением случаев, предусмотренных </w:t>
      </w:r>
      <w:hyperlink w:anchor="Par49" w:history="1">
        <w:r>
          <w:rPr>
            <w:rFonts w:ascii="Times New Roman" w:hAnsi="Times New Roman" w:cs="Times New Roman"/>
            <w:color w:val="0000FF"/>
            <w:sz w:val="24"/>
            <w:szCs w:val="24"/>
          </w:rPr>
          <w:t>частью 3 статьи 3</w:t>
        </w:r>
      </w:hyperlink>
      <w:r>
        <w:rPr>
          <w:rFonts w:ascii="Times New Roman" w:hAnsi="Times New Roman" w:cs="Times New Roman"/>
          <w:sz w:val="24"/>
          <w:szCs w:val="24"/>
        </w:rPr>
        <w:t xml:space="preserve"> настоящего Закона,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влечет предупреждение или наложение административного штрафа на граждан в размере от двух тысяч до трех тысяч рублей; на должностных лиц - от двух тысяч до десяти тысяч рублей; на юридических лиц - от десяти тысяч до двадцати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Нарушение требований муниципальных правовых актов о размещении транспортных средств на объектах благоустройства, выразившееся в размещении транспортных средств, препятствующих проведению работ по механизированной уборке территорий, а также проведению работ по очистке кровель зданий от снега, наледи и (или) удалению сосулек, деятельности специализированной организации по сбору и вывозу (транспортировке) с помощью транспортных средств мусора из мест, предназначенных для его накопления (временного складирования</w:t>
      </w:r>
      <w:proofErr w:type="gramEnd"/>
      <w:r>
        <w:rPr>
          <w:rFonts w:ascii="Times New Roman" w:hAnsi="Times New Roman" w:cs="Times New Roman"/>
          <w:sz w:val="24"/>
          <w:szCs w:val="24"/>
        </w:rPr>
        <w:t xml:space="preserve">) в контейнерах, мусоросборниках или на специально отведенных площадках, если эти действия не образуют состава административного правонарушения, предусмотренного </w:t>
      </w:r>
      <w:hyperlink r:id="rId13"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двух тысяч до трех тысяч рублей; на должностных лиц - от трех тысяч до десяти тысяч рублей; на юридических лиц - от десяти тысяч до пятидесяти тысяч рублей.</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6. Нарушение установленных муниципальными правовыми актами требований по размещению печатной и рукописной продукции, нанесение надписей и графических изображений вне отведенных для этих целей мест</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 xml:space="preserve">Нарушение установленных муниципальными правовыми актами требований по размещению печатной и рукописной продукции, выразившееся в наружном размещении (расклеивании, вывешивании) объявлений, листовок, плакатов, афиш, другой печатной и рукописной продукции, иных информационных материалов вне отведенных для этих целей мест, а равно совершение указанных действий без необходимых разрешений и согласований, если указанные действия не содержат состава административного правонарушения, предусмотренного </w:t>
      </w:r>
      <w:hyperlink r:id="rId14" w:history="1">
        <w:r>
          <w:rPr>
            <w:rFonts w:ascii="Times New Roman" w:hAnsi="Times New Roman" w:cs="Times New Roman"/>
            <w:color w:val="0000FF"/>
            <w:sz w:val="24"/>
            <w:szCs w:val="24"/>
          </w:rPr>
          <w:t>статьей 5.9</w:t>
        </w:r>
      </w:hyperlink>
      <w:r>
        <w:rPr>
          <w:rFonts w:ascii="Times New Roman" w:hAnsi="Times New Roman" w:cs="Times New Roman"/>
          <w:sz w:val="24"/>
          <w:szCs w:val="24"/>
        </w:rPr>
        <w:t xml:space="preserve">, </w:t>
      </w:r>
      <w:hyperlink r:id="rId15" w:history="1">
        <w:r>
          <w:rPr>
            <w:rFonts w:ascii="Times New Roman" w:hAnsi="Times New Roman" w:cs="Times New Roman"/>
            <w:color w:val="0000FF"/>
            <w:sz w:val="24"/>
            <w:szCs w:val="24"/>
          </w:rPr>
          <w:t>частью 1 статьи</w:t>
        </w:r>
        <w:proofErr w:type="gramEnd"/>
        <w:r>
          <w:rPr>
            <w:rFonts w:ascii="Times New Roman" w:hAnsi="Times New Roman" w:cs="Times New Roman"/>
            <w:color w:val="0000FF"/>
            <w:sz w:val="24"/>
            <w:szCs w:val="24"/>
          </w:rPr>
          <w:t xml:space="preserve"> 6.13</w:t>
        </w:r>
      </w:hyperlink>
      <w:r>
        <w:rPr>
          <w:rFonts w:ascii="Times New Roman" w:hAnsi="Times New Roman" w:cs="Times New Roman"/>
          <w:sz w:val="24"/>
          <w:szCs w:val="24"/>
        </w:rPr>
        <w:t xml:space="preserve">, </w:t>
      </w:r>
      <w:hyperlink r:id="rId16" w:history="1">
        <w:r>
          <w:rPr>
            <w:rFonts w:ascii="Times New Roman" w:hAnsi="Times New Roman" w:cs="Times New Roman"/>
            <w:color w:val="0000FF"/>
            <w:sz w:val="24"/>
            <w:szCs w:val="24"/>
          </w:rPr>
          <w:t>статьями 6.20</w:t>
        </w:r>
      </w:hyperlink>
      <w:r>
        <w:rPr>
          <w:rFonts w:ascii="Times New Roman" w:hAnsi="Times New Roman" w:cs="Times New Roman"/>
          <w:sz w:val="24"/>
          <w:szCs w:val="24"/>
        </w:rPr>
        <w:t xml:space="preserve">, </w:t>
      </w:r>
      <w:hyperlink r:id="rId17" w:history="1">
        <w:r>
          <w:rPr>
            <w:rFonts w:ascii="Times New Roman" w:hAnsi="Times New Roman" w:cs="Times New Roman"/>
            <w:color w:val="0000FF"/>
            <w:sz w:val="24"/>
            <w:szCs w:val="24"/>
          </w:rPr>
          <w:t>14.3</w:t>
        </w:r>
      </w:hyperlink>
      <w:r>
        <w:rPr>
          <w:rFonts w:ascii="Times New Roman" w:hAnsi="Times New Roman" w:cs="Times New Roman"/>
          <w:sz w:val="24"/>
          <w:szCs w:val="24"/>
        </w:rPr>
        <w:t xml:space="preserve">, </w:t>
      </w:r>
      <w:hyperlink r:id="rId18" w:history="1">
        <w:r>
          <w:rPr>
            <w:rFonts w:ascii="Times New Roman" w:hAnsi="Times New Roman" w:cs="Times New Roman"/>
            <w:color w:val="0000FF"/>
            <w:sz w:val="24"/>
            <w:szCs w:val="24"/>
          </w:rPr>
          <w:t>14.3.1</w:t>
        </w:r>
      </w:hyperlink>
      <w:r>
        <w:rPr>
          <w:rFonts w:ascii="Times New Roman" w:hAnsi="Times New Roman" w:cs="Times New Roman"/>
          <w:sz w:val="24"/>
          <w:szCs w:val="24"/>
        </w:rPr>
        <w:t xml:space="preserve"> Кодекса Российской Федерации об административных правонарушениях,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четырех тысяч до пяти тысяч рублей, на должностных лиц - от двадцати тысяч до тридцати тысяч рублей, на юридических лиц - от сорока тысяч до пятидесяти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Нарушение установленных муниципальными правовыми актами требований по размещению печатной и рукописной продукции, выразившееся в нанесении надписей и графических изображений вне отведенных для этих целей мест, а равно совершение указанных действий без необходимых разрешений и согласований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четырех тысяч до пяти тысяч рублей, на должностных лиц - от двадцати тысяч до тридцати тысяч рублей, на юридических лиц - от сорока тысяч до пятидесяти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Непринятие правообладателем здания, строения, сооружения установленных муниципальными правовыми актами </w:t>
      </w:r>
      <w:proofErr w:type="gramStart"/>
      <w:r>
        <w:rPr>
          <w:rFonts w:ascii="Times New Roman" w:hAnsi="Times New Roman" w:cs="Times New Roman"/>
          <w:sz w:val="24"/>
          <w:szCs w:val="24"/>
        </w:rPr>
        <w:t>мер</w:t>
      </w:r>
      <w:proofErr w:type="gramEnd"/>
      <w:r>
        <w:rPr>
          <w:rFonts w:ascii="Times New Roman" w:hAnsi="Times New Roman" w:cs="Times New Roman"/>
          <w:sz w:val="24"/>
          <w:szCs w:val="24"/>
        </w:rPr>
        <w:t xml:space="preserve"> по устранению размещенных в нарушение требований муниципальных правовых актов объявлений, листовок, плакатов, афиш, другой печатной и рукописной продукции, иных информационных материалов, надписей и графических изображений, размещенных вне отведенных для этих целей мест,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десяти тысяч рублей, на юридических лиц - от десяти тысяч до тридцати тысяч рублей.</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lastRenderedPageBreak/>
        <w:t>Статья 7. Нарушение установленных муниципальными правовыми актами требований по размещению отходов производства и потребления, а равно складирование, загромождение и (или) захламление придомовой территории, территории общего пользования, прилегающей к частным домовладениям, другой территории общего пользования строительным материалом, дровами, углем, металлоломом, грунтом, иными предметами (имуществом)</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 xml:space="preserve">Нарушение установленных муниципальными правовыми актами требований по размещению отходов производства и потребления, выразившееся в размещении отходов производства и потребления, в том числе порубочных остатков деревьев, кустарников, а также листвы и других остатков растительности на территориях общего пользования вне специально отведенных органами местного самоуправления для этого мест, если указанные действия не содержат состава административного правонарушения, предусмотренного </w:t>
      </w:r>
      <w:hyperlink r:id="rId19"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правонарушениях</w:t>
      </w:r>
      <w:proofErr w:type="gramEnd"/>
      <w:r>
        <w:rPr>
          <w:rFonts w:ascii="Times New Roman" w:hAnsi="Times New Roman" w:cs="Times New Roman"/>
          <w:sz w:val="24"/>
          <w:szCs w:val="24"/>
        </w:rPr>
        <w:t>,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двух тысяч до четырех тысяч рублей; на должностных лиц - от десяти тысяч до пятнадцати тысяч рублей; на юридических лиц - от тридцати тысяч до пятидесяти тысяч рублей.</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 xml:space="preserve">Нарушение установленных муниципальными правовыми актами требований по размещению отходов производства и потребления, выразившееся в складировании, загромождении и (или) захламлении придомовой территории, территории общего пользования, прилегающей к частным домовладениям, другой территории общего пользования строительным материалом, дровами, углем, металлоломом, грунтом, иными предметами (имуществом), если указанные действия не содержат состава административного правонарушения, предусмотренного </w:t>
      </w:r>
      <w:hyperlink r:id="rId20"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 -</w:t>
      </w:r>
      <w:proofErr w:type="gramEnd"/>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двух тысяч до четырех тысяч рублей; на должностных лиц - от десяти тысяч до пятнадцати тысяч рублей; на юридических лиц - от тридцати тысяч до пятидесяти тысяч рублей.</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8. Нарушение требований муниципальных правовых актов по размещению нестационарных торговых объектов в местах, не предусмотренных схемами размещения нестационарных торговых объектов</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Нарушение требований муниципальных правовых актов по размещению нестационарных торговых объектов, выразившееся в размещении нестационарных торговых объектов в местах, не предусмотренных схемами размещения нестационарных торговых объектов, утвержденными органами местного самоуправления муниципальных образований Иркутской области, и (или) в осуществлении торговли, оказании услуг развлекательного характера населению на указанных объектах, -</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влечет предупреждение или наложение административного штрафа на граждан в размере от двух тысяч до четырех тысяч рублей; на должностных лиц - от четырех тысяч до восьми тысяч рублей; на юридических лиц - от десяти тысяч до пятнадцати тысяч рублей.</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9. Должностные лица, уполномоченные составлять протоколы об административных правонарушениях, предусмотренных настоящим Законом</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Протоколы об административных правонарушениях, предусмотренных настоящим Законом, составляют должностные лица органов местного самоуправления муниципальных образований Иркутской области.</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 К должностным лицам органов местного самоуправления муниципальных образований Иркутской области, уполномоченным составлять протоколы об административных правонарушениях, предусмотренных настоящим Законом, относятся:</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руководители местных администраций, их заместители;</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руководители органов местных администраций, их заместители в соответствии с задачами и функциями, определенными муниципальными нормативными правовыми актами;</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иные должностные лица органов местных администраций в соответствии с задачами и функциями этих органов, определенными муниципальными нормативными правовыми актами.</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При наделении законом Иркутской области органов местного самоуправления городских округов Иркутской области, муниципальных округов Иркутской области, муниципальных районов Иркутской области областным государственным полномочием по определению перечня должностных лиц, уполномоченных составлять протоколы об административных правонарушениях, предусмотренных настоящим Законом, перечень должностных лиц органов местного самоуправления муниципальных образований Иркутской области, уполномоченных составлять протоколы об административных правонарушениях, предусмотренных настоящим Законом, определяется органами местного самоуправления</w:t>
      </w:r>
      <w:proofErr w:type="gramEnd"/>
      <w:r>
        <w:rPr>
          <w:rFonts w:ascii="Times New Roman" w:hAnsi="Times New Roman" w:cs="Times New Roman"/>
          <w:sz w:val="24"/>
          <w:szCs w:val="24"/>
        </w:rPr>
        <w:t xml:space="preserve"> муниципальных образований Иркутской области в соответствии с указанным законом Иркутской области о наделении областным государственным полномочием.</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10. Органы, уполномоченные рассматривать дела об административных правонарушениях, предусмотренных настоящим Законом</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Дела об административных правонарушениях, предусмотренных настоящим Законом, рассматриваются в порядке, установленном </w:t>
      </w:r>
      <w:hyperlink r:id="rId21"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административными комиссиями, создаваемыми в порядке, предусмотренном </w:t>
      </w:r>
      <w:hyperlink r:id="rId22"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Иркутской области от 29 декабря 2008 года N 145-оз "Об административных комиссиях в Иркутской области";</w:t>
      </w:r>
    </w:p>
    <w:p w:rsidR="008707C0" w:rsidRDefault="008707C0" w:rsidP="008707C0">
      <w:pPr>
        <w:autoSpaceDE w:val="0"/>
        <w:autoSpaceDN w:val="0"/>
        <w:adjustRightInd w:val="0"/>
        <w:spacing w:before="240"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2) районными (городскими), районными в городах комиссиями по делам несовершеннолетних и защите их прав, создаваемыми в порядке, предусмотренном </w:t>
      </w:r>
      <w:hyperlink r:id="rId23"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Иркутской области от 12 ноября 2007 года N 100-оз "О порядке создания и осуществления деятельности комиссий по делам несовершеннолетних и защите их прав в Иркутской области", в случае, если правонарушение совершено несовершеннолетними.</w:t>
      </w:r>
      <w:proofErr w:type="gramEnd"/>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11. Вступление в силу настоящего Закона</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Настоящий Закон вступает в силу по истечении десяти календарных дней после дня его официального опубликования.</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Губернатор Иркутской области</w:t>
      </w:r>
    </w:p>
    <w:p w:rsidR="008707C0" w:rsidRDefault="008707C0" w:rsidP="008707C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И.И.КОБЗЕВ</w:t>
      </w:r>
    </w:p>
    <w:p w:rsidR="008707C0" w:rsidRDefault="008707C0" w:rsidP="008707C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 Иркутск</w:t>
      </w:r>
    </w:p>
    <w:p w:rsidR="008707C0" w:rsidRDefault="008707C0" w:rsidP="008707C0">
      <w:p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27 марта 2025 года</w:t>
      </w:r>
    </w:p>
    <w:p w:rsidR="008707C0" w:rsidRDefault="008707C0" w:rsidP="008707C0">
      <w:p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N 18-ОЗ</w:t>
      </w: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autoSpaceDE w:val="0"/>
        <w:autoSpaceDN w:val="0"/>
        <w:adjustRightInd w:val="0"/>
        <w:spacing w:after="0" w:line="240" w:lineRule="auto"/>
        <w:jc w:val="both"/>
        <w:rPr>
          <w:rFonts w:ascii="Times New Roman" w:hAnsi="Times New Roman" w:cs="Times New Roman"/>
          <w:sz w:val="24"/>
          <w:szCs w:val="24"/>
        </w:rPr>
      </w:pPr>
    </w:p>
    <w:p w:rsidR="008707C0" w:rsidRDefault="008707C0" w:rsidP="008707C0">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626D0C" w:rsidRDefault="008707C0">
      <w:bookmarkStart w:id="3" w:name="_GoBack"/>
      <w:bookmarkEnd w:id="3"/>
    </w:p>
    <w:sectPr w:rsidR="00626D0C" w:rsidSect="00030CA5">
      <w:pgSz w:w="11905" w:h="16838"/>
      <w:pgMar w:top="567" w:right="850" w:bottom="567"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E3C"/>
    <w:rsid w:val="00076E3C"/>
    <w:rsid w:val="008707C0"/>
    <w:rsid w:val="008F78DA"/>
    <w:rsid w:val="00962869"/>
    <w:rsid w:val="009763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0101&amp;dst=1628" TargetMode="External"/><Relationship Id="rId13" Type="http://schemas.openxmlformats.org/officeDocument/2006/relationships/hyperlink" Target="https://login.consultant.ru/link/?req=doc&amp;base=LAW&amp;n=500101" TargetMode="External"/><Relationship Id="rId18" Type="http://schemas.openxmlformats.org/officeDocument/2006/relationships/hyperlink" Target="https://login.consultant.ru/link/?req=doc&amp;base=LAW&amp;n=500101&amp;dst=9130" TargetMode="External"/><Relationship Id="rId3" Type="http://schemas.openxmlformats.org/officeDocument/2006/relationships/settings" Target="settings.xml"/><Relationship Id="rId21" Type="http://schemas.openxmlformats.org/officeDocument/2006/relationships/hyperlink" Target="https://login.consultant.ru/link/?req=doc&amp;base=LAW&amp;n=500101" TargetMode="External"/><Relationship Id="rId7" Type="http://schemas.openxmlformats.org/officeDocument/2006/relationships/hyperlink" Target="https://login.consultant.ru/link/?req=doc&amp;base=LAW&amp;n=500101&amp;dst=100338" TargetMode="External"/><Relationship Id="rId12" Type="http://schemas.openxmlformats.org/officeDocument/2006/relationships/hyperlink" Target="https://login.consultant.ru/link/?req=doc&amp;base=LAW&amp;n=500101" TargetMode="External"/><Relationship Id="rId17" Type="http://schemas.openxmlformats.org/officeDocument/2006/relationships/hyperlink" Target="https://login.consultant.ru/link/?req=doc&amp;base=LAW&amp;n=500101&amp;dst=1664"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LAW&amp;n=500101&amp;dst=3934" TargetMode="External"/><Relationship Id="rId20" Type="http://schemas.openxmlformats.org/officeDocument/2006/relationships/hyperlink" Target="https://login.consultant.ru/link/?req=doc&amp;base=LAW&amp;n=500101" TargetMode="External"/><Relationship Id="rId1" Type="http://schemas.openxmlformats.org/officeDocument/2006/relationships/styles" Target="styles.xml"/><Relationship Id="rId6" Type="http://schemas.openxmlformats.org/officeDocument/2006/relationships/hyperlink" Target="https://login.consultant.ru/link/?req=doc&amp;base=LAW&amp;n=500101&amp;dst=2905" TargetMode="External"/><Relationship Id="rId11" Type="http://schemas.openxmlformats.org/officeDocument/2006/relationships/hyperlink" Target="https://login.consultant.ru/link/?req=doc&amp;base=LAW&amp;n=500101&amp;dst=100511" TargetMode="External"/><Relationship Id="rId24" Type="http://schemas.openxmlformats.org/officeDocument/2006/relationships/fontTable" Target="fontTable.xml"/><Relationship Id="rId5" Type="http://schemas.openxmlformats.org/officeDocument/2006/relationships/hyperlink" Target="https://login.consultant.ru/link/?req=doc&amp;base=LAW&amp;n=500101&amp;dst=100010" TargetMode="External"/><Relationship Id="rId15" Type="http://schemas.openxmlformats.org/officeDocument/2006/relationships/hyperlink" Target="https://login.consultant.ru/link/?req=doc&amp;base=LAW&amp;n=500101&amp;dst=6362" TargetMode="External"/><Relationship Id="rId23" Type="http://schemas.openxmlformats.org/officeDocument/2006/relationships/hyperlink" Target="https://login.consultant.ru/link/?req=doc&amp;base=RLAW411&amp;n=217404" TargetMode="External"/><Relationship Id="rId10" Type="http://schemas.openxmlformats.org/officeDocument/2006/relationships/hyperlink" Target="https://login.consultant.ru/link/?req=doc&amp;base=LAW&amp;n=500101&amp;dst=6398" TargetMode="External"/><Relationship Id="rId19" Type="http://schemas.openxmlformats.org/officeDocument/2006/relationships/hyperlink" Target="https://login.consultant.ru/link/?req=doc&amp;base=LAW&amp;n=50010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0101&amp;dst=1631" TargetMode="External"/><Relationship Id="rId14" Type="http://schemas.openxmlformats.org/officeDocument/2006/relationships/hyperlink" Target="https://login.consultant.ru/link/?req=doc&amp;base=LAW&amp;n=500101&amp;dst=100199" TargetMode="External"/><Relationship Id="rId22" Type="http://schemas.openxmlformats.org/officeDocument/2006/relationships/hyperlink" Target="https://login.consultant.ru/link/?req=doc&amp;base=RLAW411&amp;n=2169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2825</Words>
  <Characters>16107</Characters>
  <Application>Microsoft Office Word</Application>
  <DocSecurity>0</DocSecurity>
  <Lines>134</Lines>
  <Paragraphs>37</Paragraphs>
  <ScaleCrop>false</ScaleCrop>
  <Company/>
  <LinksUpToDate>false</LinksUpToDate>
  <CharactersWithSpaces>18895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2025-06-09T01:40:00Z</dcterms:created>
  <dcterms:modified xsi:type="dcterms:W3CDTF">2025-06-09T01:40:00Z</dcterms:modified>
</cp:coreProperties>
</file>