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8AC" w:rsidRPr="00A218AC" w:rsidRDefault="00A218AC" w:rsidP="00A218AC">
      <w:pPr>
        <w:spacing w:before="161" w:after="161" w:line="240" w:lineRule="auto"/>
        <w:outlineLvl w:val="0"/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</w:pPr>
      <w:bookmarkStart w:id="0" w:name="_GoBack"/>
      <w:r w:rsidRPr="00A218AC"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  <w:t>С какой суммы уплачивается налог по вкладам в 2025 году</w:t>
      </w:r>
    </w:p>
    <w:bookmarkEnd w:id="0"/>
    <w:p w:rsidR="00A218AC" w:rsidRPr="00A218AC" w:rsidRDefault="00A218AC" w:rsidP="00A218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A218A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Если у налогоплательщика есть вклад или накопительный счет, а годовой доход по ним превышает установленный лимит, следует уплатить налог на доходы физических лиц (</w:t>
      </w:r>
      <w:hyperlink r:id="rId5" w:tgtFrame="_blank" w:history="1">
        <w:r w:rsidRPr="00A218AC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НДФЛ</w:t>
        </w:r>
      </w:hyperlink>
      <w:r w:rsidRPr="00A218A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) с суммы начисленных процентов. Если сумма процентов по всем вкладам не превышает 210 тыс. рублей, то налогоплательщик освобождается от уплаты НДФЛ.</w:t>
      </w:r>
    </w:p>
    <w:p w:rsidR="00A218AC" w:rsidRPr="00A218AC" w:rsidRDefault="00A218AC" w:rsidP="00A218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A218AC" w:rsidRPr="00A218AC" w:rsidRDefault="00A218AC" w:rsidP="00A218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A218A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Доход, с которого не нужно платить налог за 2024 год, равен 210 тыс. рублей и рассчитывается по следующей формуле:</w:t>
      </w:r>
    </w:p>
    <w:p w:rsidR="00A218AC" w:rsidRPr="00A218AC" w:rsidRDefault="00A218AC" w:rsidP="00A218AC">
      <w:pPr>
        <w:numPr>
          <w:ilvl w:val="0"/>
          <w:numId w:val="1"/>
        </w:numPr>
        <w:shd w:val="clear" w:color="auto" w:fill="FFFFFF"/>
        <w:spacing w:after="150" w:line="240" w:lineRule="auto"/>
        <w:ind w:left="-225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A218A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1 млн рублей (необлагаемая сумма дохода) * 21% (ключевой ставки ЦБР, которая действовала по состоянию на первое число каждого месяца в течение указанного календарного года).</w:t>
      </w:r>
    </w:p>
    <w:p w:rsidR="00A218AC" w:rsidRPr="00A218AC" w:rsidRDefault="00A218AC" w:rsidP="00A218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A218A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Если доход от всех вкладов больше лимита (210 тыс. руб.), следует оплатить налог 13% с суммы превышения. При доходе больше 2 400 тыс. рублей – 15% с суммы превышения.</w:t>
      </w:r>
    </w:p>
    <w:p w:rsidR="00A218AC" w:rsidRPr="00A218AC" w:rsidRDefault="00A218AC" w:rsidP="00A218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A218AC" w:rsidRPr="00A218AC" w:rsidRDefault="00A218AC" w:rsidP="00A218AC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A218A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Налог с дохода от банковского вклада за 2024 год будет включен в налоговое уведомление для уплаты в срок не позднее 1 декабря 2025 года. Сумма налога рассчитывается налоговыми органами автоматически на основе информации от банков и Агентств по страхованию вкладов. Уплатить исчисленный НДФЛ можно с помощью интернет – сервиса сайта ФНС России «</w:t>
      </w:r>
      <w:hyperlink r:id="rId6" w:tgtFrame="_blank" w:history="1">
        <w:r w:rsidRPr="00A218AC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Уплата налогов и пошлин</w:t>
        </w:r>
      </w:hyperlink>
      <w:r w:rsidRPr="00A218A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», а также в «</w:t>
      </w:r>
      <w:hyperlink r:id="rId7" w:tgtFrame="_blank" w:history="1">
        <w:r w:rsidRPr="00A218AC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Личном кабинете налогоплательщика физических лиц</w:t>
        </w:r>
      </w:hyperlink>
      <w:r w:rsidRPr="00A218AC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».</w:t>
      </w:r>
    </w:p>
    <w:p w:rsidR="00B37123" w:rsidRDefault="00B37123"/>
    <w:sectPr w:rsidR="00B37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v_PFDINTEXTCONDPRO-MEDIU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044A03"/>
    <w:multiLevelType w:val="multilevel"/>
    <w:tmpl w:val="35E0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32A"/>
    <w:rsid w:val="0012232A"/>
    <w:rsid w:val="004669B1"/>
    <w:rsid w:val="00A218AC"/>
    <w:rsid w:val="00B3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67F49F0-67CD-478C-BAAD-2458748A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773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920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708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45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17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04559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09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095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369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873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41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fl2.nalog.ru/lkf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.nalog.ru/payment/index.html" TargetMode="External"/><Relationship Id="rId5" Type="http://schemas.openxmlformats.org/officeDocument/2006/relationships/hyperlink" Target="https://www.nalog.gov.ru/rn38/taxation/taxes/ndf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Рыбакова Ирина Викторовна</cp:lastModifiedBy>
  <cp:revision>2</cp:revision>
  <dcterms:created xsi:type="dcterms:W3CDTF">2025-08-15T06:20:00Z</dcterms:created>
  <dcterms:modified xsi:type="dcterms:W3CDTF">2025-08-15T06:20:00Z</dcterms:modified>
</cp:coreProperties>
</file>