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i/>
          <w:iCs/>
          <w:color w:val="000000"/>
          <w:sz w:val="21"/>
          <w:szCs w:val="21"/>
        </w:rPr>
        <w:t>Экспертиза проектов решений «О внесении изменений и дополнений в решение Думы муниципальных образований «О бюджете поселения на 2020 год и плановый период 2021 и 2022 годов»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color w:val="000000"/>
          <w:sz w:val="21"/>
          <w:szCs w:val="21"/>
        </w:rPr>
        <w:t> 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03.07.2020 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Отмечались замечания в части несоответствия отдельных показателей между приложениями к проекту бюджета, а также о необходимости уточнения отдельных показателей бюджетных ассигнований по кодам бюджетной классификации.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08.07.2020 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Предлагалось пункты по основным характеристикам, а также приложение по доходам исключить, поскольку основные характеристики не меняются (предлагается перераспределение между разделами).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08.07.2020 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В ходе проведения экспертизы замечаний не установлено.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22.07.2020 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Замечания к проекту решения не установлены.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07.08.2020 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Предлагалось уточнить объем бюджетных ассигнований в приложении № 11 к проекту решения, не соответствует данным приложений № 7, 9, а также данным муниципальной программы.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13.08.2020 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Замечания к проекту решения не установлены.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03.09.2020 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В ходе проведения экспертизы замечаний не установлено.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08.09.2020 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Установлены отдельные замечания к приложениям № 9 и 11к проекту решения о бюджете.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11.09.2020 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В ходе проведения экспертизы замечаний не установлено.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14.09.2020 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Установлены замечания в части объема межбюджетных трансфертов в пункте 1 проекта решения.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lastRenderedPageBreak/>
        <w:t>14.09.2020 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Установлено, что отдельные показатели по кодам разделов подразделов приложения № 5 к проекту решения не соответствую данным приложения № 7 к проекту решения.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16.09.2020 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В ходе проведения экспертизы замечаний не установлено.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16.09.2020 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Установлены замечания к проценту дефицита бюджета, указанному в пункте 1 проекта решения, а также к объему межбюджетных трансфертов по внешнему муниципальному финансовому контролю (не соответствует данным Соглашения).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17.09.2020 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Замечаний к проекту решения не установлено.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23.09.2020 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Замечаний в ходе проведения экспертизы не установлено.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23.09.2020 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Установлены замечания в части необходимости уточнения объема межбюджетных трансфертов в пункте 1 проекта решения, уточнить нумерацию в проекте решения, уточнить годы в приложении № 2. Также указывалось о необходимости в пояснительной записке указывать экономическое содержание проводимых операций для определения  достоверного применения бюджетной классификации.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26.10.2020 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Установлены замечания к проекту решения в части подписания – исключить слова «администрации».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26.10.2020 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Установлены замечания к проценту дефицита бюджета, указанному в пункте 1 проекта решения с учетом изменений по неналоговым доходам.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27.10.2020 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В ходе проведения экспертизы замечаний не установлено.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27.10.2020 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В ходе проведения экспертизы замечаний не установлено.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28.10.2020 </w:t>
      </w:r>
      <w:r w:rsidRPr="002A38D8">
        <w:rPr>
          <w:rFonts w:ascii="Palatino Linotype" w:hAnsi="Palatino Linotype"/>
          <w:color w:val="000000"/>
          <w:sz w:val="21"/>
          <w:szCs w:val="21"/>
        </w:rPr>
        <w:t xml:space="preserve">Проведена экспертиза проекта решения Думы «О внесении изменений и дополнений в решение Думы «О бюджете муниципального образования на 2020 год и </w:t>
      </w:r>
      <w:r w:rsidRPr="002A38D8">
        <w:rPr>
          <w:rFonts w:ascii="Palatino Linotype" w:hAnsi="Palatino Linotype"/>
          <w:color w:val="000000"/>
          <w:sz w:val="21"/>
          <w:szCs w:val="21"/>
        </w:rPr>
        <w:lastRenderedPageBreak/>
        <w:t>плановый период 2021 и 2022 годов». В ходе проведения экспертизы замечаний не установлено.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16.11.2020 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  «О бюджете муниципального образования на 2020 год и плановый период 2021 и 2022 годов». Установлены отдельные замечания в части несоответствия отдельных показателей пояснительной записки данным проекта решения, а также уточнить показатель о изменении остатков средств на счетах по учету средств бюджета в приложении № 9 к проекту решения.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01.12.2020 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Установлены замечания к пояснительной записке в части того, что предусмотренные проектом изменения не в полной мере отражены в ней.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01.12.2020 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В ходе проведения экспертизы замечаний не установлено.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11.12.2020 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Установлены замечания в части подписания проекта решения Думы, слова «администрации» исключить, а также уточнить графу наименование по доходам от штрафов.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14.12.2020 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Установлены замечания в части уточнения отдельных пунктов первоначального решения о бюджете.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16.12.2020 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в решение Думы «О бюджете муниципального образования на 2020 год и плановый период 2021 и 2022 годов». Отмечались замечания в отношении отдельных текстовых показателей  проекта решения и его приложений.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18.12.2020 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в решение Думы «О бюджете муниципального образования на 2020 год и плановый период 2021 и 2022 годов». В ходе проведения экспертизы замечаний не установлено.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24.12.2020 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Установлены замечания о несоответствии отдельных показателей между приложениями проекта решения, а также дополнить проект решения пунктом, уточняющим объем бюджетных ассигнований дорожного фонда  учетом изменений в доходной части бюджета.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25.12.2020 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В Заключении отмечалось о необходимости уточнения процента дефицита.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25.12.2020 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В ходе проведения экспертизы замечаний не установлено.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lastRenderedPageBreak/>
        <w:t>26.12.2020 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В ходе проведения экспертизы замечаний не установлено.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26.12.2020 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В ходе проведения экспертизы замечаний не установлено.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28.12.2020 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Установлены отдельные замечания к текстовым показателям проекта решения, а также в части необходимости указания экономического содержания предлагаемых изменений в пояснительной записке к проекту решения.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29.12.2020 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В ходе проведения экспертизы замечаний не установлено.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29.12.2020 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годов. Установлены отдельные замечания к текстовым показателям проекта решения.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30.12.2020 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годов. Установлены отдельные замечания к текстовым показателям проекта решения.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color w:val="000000"/>
          <w:sz w:val="21"/>
          <w:szCs w:val="21"/>
        </w:rPr>
        <w:t> 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i/>
          <w:iCs/>
          <w:color w:val="000000"/>
          <w:sz w:val="21"/>
          <w:szCs w:val="21"/>
        </w:rPr>
        <w:t>Экспертиза проектов решений «О бюджете муниципального образования на 2021 год и плановый период 2022 и 2023 годов»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23.11.2020 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муниципального образования на 2021 год и плановый период 2022 и 2023 годов». Установлены нарушения ч. 4 ст. 173 БК РФ о том, что в пояснительной записке к прогнозу СЭР отсутствует обоснование параметров прогноза, в том числе их сопоставление с ранее утвержденными  параметрами, с указанием причин и факторов прогнозируемых изменений. В нарушение  ч. 2 ст. 87 Бюджетного кодекса РФ реестр не содержит оценки объемов бюджетных ассигнований, необходимых для исполнения обязательств. Уточнить подраздел по мероприятиям по предупреждению и ликвидации последствий ЧС и стихийных бедствий, поскольку в приказ № 85н от 06.06.2019г. внесены изменения приказом № 98н от 08.06.2020 в части отнесения указанных расходов с подраздела 0309 на 0310. Также установлены отдельные замечания к приложениям проекта решения и показателям паспорта муниципальной программы.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23.11.2020 </w:t>
      </w:r>
      <w:r w:rsidRPr="002A38D8">
        <w:rPr>
          <w:rFonts w:ascii="Palatino Linotype" w:hAnsi="Palatino Linotype"/>
          <w:color w:val="000000"/>
          <w:sz w:val="21"/>
          <w:szCs w:val="21"/>
        </w:rPr>
        <w:t xml:space="preserve">Проведенаэкспертиза проекта решения Думы «О бюджете муниципального образования на 2021 и плановый период 2022 и 2023 годов». Установлены нарушения ч. 4 ст. 173 БК РФ о том, что в пояснительной записке к прогнозу СЭР отсутствует обоснование параметров прогноза, в том числе их сопоставление с ранее утвержденными параметрами, с указанием причин и факторов прогнозируемых изменений. В нарушение ч. 2 ст. 172 БК РФ показатели доходной части бюджета не соответствуют данным Прогноза в части доходного потенциала по налогу на доходы физических лиц и налога на имущество. Также установлены </w:t>
      </w:r>
      <w:r w:rsidRPr="002A38D8">
        <w:rPr>
          <w:rFonts w:ascii="Palatino Linotype" w:hAnsi="Palatino Linotype"/>
          <w:color w:val="000000"/>
          <w:sz w:val="21"/>
          <w:szCs w:val="21"/>
        </w:rPr>
        <w:lastRenderedPageBreak/>
        <w:t>отдельные замечания к проекту решения и его приложений, к показателям пояснительной записки к проекту решения.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23.11.2020 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муниципального образования на 2021 год и плановый период 2022 и 2023 годов». Установлены нарушения ч. 4 ст. 173 БК РФ о том, что в пояснительной записке к прогнозу СЭР отсутствует обоснование параметров прогноза, в том числе их сопоставление с ранее утвержденными параметрами, с указанием причин и факторов прогнозируемых изменений. Также установлены отдельные замечания к приложению проекта решения.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23.11.2020 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муниципального образования на 2021 год и плановый период 2022 и 2023 годов». Установлены нарушения  ч. 2 ст. 87 Бюджетного кодекса РФ в той части, что реестр не содержит оценки объемов бюджетных ассигнований, необходимых для исполнения обязательств. Также установлены отдельные замечания к проекту решения и его приложениям, показателям прогноза СЭР.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23.11.2020 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муниципального образования на 2021 год и плановый период 2022 и 2023 годов». Установлены нарушения ч. 4 ст. 173 БК РФ о том, что в пояснительной записке к прогнозу СЭР отсутствует обоснование параметров прогноза, в том числе их сопоставление с ранее утвержденными параметрами, с указанием причин и факторов прогнозируемых изменений. В нарушение  ч. 2 ст. 87 Бюджетного кодекса РФ реестр не содержит оценки объемов бюджетных ассигнований, необходимых для исполнения обязательств. Также установлены замечания к отдельным показателям проекта решения и его приложениям.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23.11.2020 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муниципального образования на 2021 год и плановый период 2022 и 2023 годов». Установлены нарушения ч. 4 ст. 173 БК РФ о том, что в пояснительной записке к прогнозу СЭР отсутствует обоснование параметров прогноза, в том числе их сопоставление с ранее утвержденными параметрами, с указанием причин и факторов прогнозируемых изменений. В нарушение  ч. 2 ст. 87 Бюджетного кодекса РФ реестр не содержит оценки объемов бюджетных ассигнований, необходимых для исполнения обязательств. Также установлены замечания к отдельным показателям проекта решения и его приложениям, к показателям пояснительной записки к проекту решения.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23.11.2020 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муниципального образования на 2021 год и плановый период 2022 и 2023 годов». Установлены нарушения ч. 4 ст. 173 БК РФ о том, что в пояснительной записке к прогнозу СЭР отсутствует обоснование параметров прогноза, в том числе их сопоставление с ранее утвержденными параметрами, с указанием причин и факторов прогнозируемых изменений. В нарушение  ч. 2 ст. 87 Бюджетного кодекса РФ реестр не содержит оценки объемов бюджетных ассигнований, необходимых для исполнения обязательств. Уточнить подраздел по мероприятиям по предупреждению и ликвидации последствий ЧС и стихийных бедствий, поскольку в приказ № 85н от 06.06.2019г. внесены изменения приказом № 98н от 08.06.2020 в части отнесения указанных расходов с подраздела 0309 на 0310. Также установлены замечания к отдельным показателям проекта решения и его приложениям, к показателям пояснительной записки к проекту решения.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24.11.2020 </w:t>
      </w:r>
      <w:r w:rsidRPr="002A38D8">
        <w:rPr>
          <w:rFonts w:ascii="Palatino Linotype" w:hAnsi="Palatino Linotype"/>
          <w:color w:val="000000"/>
          <w:sz w:val="21"/>
          <w:szCs w:val="21"/>
        </w:rPr>
        <w:t xml:space="preserve">Проведена экспертиза проекта решения Думы «О бюджете муниципального образования на 2021 год и плановый период 2022 и 2023 годов». Установлены нарушения ч. 4 ст. 173 БК РФ о том, что в пояснительной записке к прогнозу СЭР отсутствует обоснование параметров прогноза, в том числе их сопоставление с ранее утвержденными параметрами, с </w:t>
      </w:r>
      <w:r w:rsidRPr="002A38D8">
        <w:rPr>
          <w:rFonts w:ascii="Palatino Linotype" w:hAnsi="Palatino Linotype"/>
          <w:color w:val="000000"/>
          <w:sz w:val="21"/>
          <w:szCs w:val="21"/>
        </w:rPr>
        <w:lastRenderedPageBreak/>
        <w:t>указанием причин и факторов прогнозируемых изменений. Также установлены замечания к отдельным показателям проекта решения и его приложениям.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27.11.2020 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муниципального образования на 2021 год и плановый период 2022 и 2023 годов». Установлены нарушения ч. 4 ст. 173 БК РФ о том, что пояснительная записка к прогнозу СЭР не представлена. В нарушение ч. 2 ст. 172 БК РФ показатели доходной части бюджета не соответствуют данным Прогноза в части доходного потенциала по налогу на доходы физических лиц. Уточнить подраздел по мероприятиям по предупреждению и ликвидации последствий ЧС и стихийных бедствий, поскольку в приказ № 85н от 06.06.2019г. внесены изменения приказом № 98н от 08.06.2020 в части отнесения указанных расходов с подраздела 0309 на 0310. В нарушение  ч. 2 ст. 87 Бюджетного кодекса РФ реестр не содержит оценки объемов бюджетных ассигнований, необходимых для исполнения обязательств. Установлены нарушения ч. 3 ст. 184.1 БК РФ в части расчета условно утвержденных расходов. Также установлены замечания к отдельным показателям проекта решения и его приложениям.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30.11.2020 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муниципального образования на 2021 год и плановый период 2022 и 2023 годов». Установлены нарушения ч. 4 ст. 173 БК РФ о том, что в пояснительной записке к прогнозу СЭР отсутствует обоснование параметров прогноза, в том числе их сопоставление с ранее утвержденными параметрами, с указанием причин и факторов прогнозируемых изменений. В нарушение  ч. 2 ст. 87 Бюджетного кодекса РФ реестр не содержит оценки объемов бюджетных ассигнований, необходимых для исполнения обязательств. Также установлены замечаний к отдельным показателям проекта решения и его приложениям.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30.11.2020 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муниципального образования на 2021 год и плановый период 2022 и 2023 годов». Установлены замечания к отдельным показателям проекта решения и его приложениям, к показателям пояснительной записки.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30.11.2020 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муниципального образования на 2021 год и плановый период 2022 и 2023 годов». Установлены нарушения ч. 4 ст. 173 БК РФ о том, что в пояснительной записке к прогнозу СЭР отсутствует обоснование параметров прогноза, в том числе их сопоставление с ранее утвержденными параметрами, с указанием причин и факторов прогнозируемых изменений. В нарушение ч. 2 ст. 172 БК РФ показатели доходной части бюджета не соответствуют данным Прогноза в части доходного потенциала по налогу на доходы физических лиц, налогу на имущество. Уточнить подраздел по мероприятиям по предупреждению и ликвидации последствий ЧС и стихийных бедствий, поскольку в приказ № 85н от 06.06.2019г. внесены изменения приказом № 98н от 08.06.2020 в части отнесения указанных расходов с подраздела 0309 на 0310. Также установлены замечания к отдельным показателям проекта решения и его приложениям.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01.12.2020 </w:t>
      </w:r>
      <w:r w:rsidRPr="002A38D8">
        <w:rPr>
          <w:rFonts w:ascii="Palatino Linotype" w:hAnsi="Palatino Linotype"/>
          <w:color w:val="000000"/>
          <w:sz w:val="21"/>
          <w:szCs w:val="21"/>
        </w:rPr>
        <w:t xml:space="preserve">Проведена экспертиза проекта решения Думы «О бюджете муниципального образования на 2021 год и плановый период 2022 и 2023 годов». Установлены нарушения ч. 4 ст. 173 БК РФ о том, что пояснительная записка к прогнозу СЭР не представлена. В нарушение ч. 2 ст. 172 БК РФ показатели доходной части бюджета не соответствуют данным Прогноза в части доходного потенциала по налогу на имущество. В нарушение  ч. 2 ст. 87 Бюджетного кодекса РФ реестр не содержит оценки объемов бюджетных ассигнований, необходимых для исполнения обязательств. В проекте решения размер предельного объема долга не соответствует требованиям ч. 5 ст. 107 БК РФ, так как приказом Минфина Иркутской области от 28.10.2020г. № 72н-мпр муниципальное образование включено в перечень муниципальных </w:t>
      </w:r>
      <w:r w:rsidRPr="002A38D8">
        <w:rPr>
          <w:rFonts w:ascii="Palatino Linotype" w:hAnsi="Palatino Linotype"/>
          <w:color w:val="000000"/>
          <w:sz w:val="21"/>
          <w:szCs w:val="21"/>
        </w:rPr>
        <w:lastRenderedPageBreak/>
        <w:t>образований, к которым применяются меры, предусмотренные ч. 4 ст. 136 БК РФ. Также установлены замечания к отдельным показателям проекта решения и его приложениям, к показателям пояснительной записки к проекту решения.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01.12.2020 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муниципального образования на 2021 год и плановый период 2022 и 2023 годов». Установлены нарушения ч. 4 ст. 173 БК РФ о том, что в пояснительной записке к прогнозу СЭР отсутствует обоснование параметров прогноза, в том числе их сопоставление с ранее утвержденными параметрами, с указанием причин и факторов прогнозируемых изменений. В прогнозе отсутствуют показатели доходного потенциала, отдельные показатели пояснительной записки не соответствуют данным табличной формы прогноза. Уточнить подраздел по мероприятиям по предупреждению и ликвидации последствий ЧС и стихийных бедствий, поскольку в приказ № 85н от 06.06.2019г. внесены изменения приказом № 98н от 08.06.2020 в части отнесения указанных расходов с подраздела 0309 на 0310. Также установлены отдельные замечания к отдельным показателям проекта решения и его приложениям.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07.12.2020 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Думы «О бюджете муниципального образования на 2021 и плановый период 2022 и 2023 годов». Установлены замечания к муниципальным программам в части их продления на срок превышающий их принятие (по муниципальным программам по культуре, по образованию срок реализации составляет уже 9 лет, первоначально 5 лет), в части досрочного прекращения муниципальной программы при эффективной оценке указанной программы. Уточнить подраздел по мероприятиям по гражданской обороне, поскольку в приказ № 85н от 06.06.2019г. внесены изменения приказом № 98н от 08.06.2020 в части отнесения указанных расходов на подраздел 0309.Также установлены замечания к отдельным показателям проекта решения и его приложениям.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color w:val="000000"/>
          <w:sz w:val="21"/>
          <w:szCs w:val="21"/>
        </w:rPr>
        <w:t> 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color w:val="000000"/>
          <w:sz w:val="21"/>
          <w:szCs w:val="21"/>
        </w:rPr>
        <w:t> 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color w:val="000000"/>
          <w:sz w:val="21"/>
          <w:szCs w:val="21"/>
        </w:rPr>
        <w:t> 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i/>
          <w:iCs/>
          <w:color w:val="000000"/>
          <w:sz w:val="21"/>
          <w:szCs w:val="21"/>
        </w:rPr>
        <w:t>Внешняя проверка годового отчета об исполнении бюджета муниципального образования за 2019 год и подготовка заключения на годовой отчет об исполнении бюджета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03.08.2020 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«Об исполнении бюджета муниципального образования за 2019 год» и внешняя проверка отчета об исполнении бюджета. Установлены замечания к отдельным формам годовой отчетности в части нарушения п.п. 70, 162, 163, 164 Инструкции № 191н, нарушения п. 1 ст. 9, п. 3 ст. 10, ст. 11 Федерального закона № 402-ФЗ. Также установлены замечания к отдельным показателям годовой отчетности и проекта решения об исполнении бюджета. Не представлен отчет об использовании резервного фонда. 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color w:val="000000"/>
          <w:sz w:val="21"/>
          <w:szCs w:val="21"/>
        </w:rPr>
        <w:t> 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color w:val="000000"/>
          <w:sz w:val="21"/>
          <w:szCs w:val="21"/>
        </w:rPr>
        <w:t> 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i/>
          <w:iCs/>
          <w:color w:val="000000"/>
          <w:sz w:val="21"/>
          <w:szCs w:val="21"/>
        </w:rPr>
        <w:t>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районного муниципального образования и муниципальных образований района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color w:val="000000"/>
          <w:sz w:val="21"/>
          <w:szCs w:val="21"/>
        </w:rPr>
        <w:t> 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12.08.2020 </w:t>
      </w:r>
      <w:r w:rsidRPr="002A38D8">
        <w:rPr>
          <w:rFonts w:ascii="Palatino Linotype" w:hAnsi="Palatino Linotype"/>
          <w:color w:val="000000"/>
          <w:sz w:val="21"/>
          <w:szCs w:val="21"/>
        </w:rPr>
        <w:t xml:space="preserve">Проведена экспертиза проекта постановления «О приведении в соответствие оклада работникам, замещающих должности, не являющиеся должностями государственной гражданской службы и вспомогательного персонала муниципального образования «Чичковское сельское поселение». В Заключении отмечались замечания к проекту в части замены слов «государственной гражданской» на «муниципальной», о дополнении </w:t>
      </w:r>
      <w:r w:rsidRPr="002A38D8">
        <w:rPr>
          <w:rFonts w:ascii="Palatino Linotype" w:hAnsi="Palatino Linotype"/>
          <w:color w:val="000000"/>
          <w:sz w:val="21"/>
          <w:szCs w:val="21"/>
        </w:rPr>
        <w:lastRenderedPageBreak/>
        <w:t>Положения данными о формировании фонда оплаты труда, дополнить пунктом об отмене предыдущего положения, в пункте 12 проекта Положения сделать указание на Приказ Министерства здравоохранения и социального развития Российский Федерации от 27.12.2007г. № 808.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09.10.2020 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постановления Администрации «О внесении изменений в Положение о порядке и условиях направления в служебные командировки работников администрации и её структурных подразделений, наделенных правами юридического лица». В Заключении отмечалось, что возмещения командировочных расходов для работников федеральных государственных органов, федеральных государственных учреждений, государственных гражданских служащих Иркутской области меньше, чем предлагается проектом. Также отмечалось, что не представлено финансово-экономическое обоснование, обосновывающее увеличение расходов.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06.11.2020 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постановления Администрации «О внесении изменений в положение об оплате труда работников, замещающих должности, не являющиеся должностями муниципальной службы, и вспомогательного персонала». По результатам экспертизы предлагалось исключить дублирующие нормы о размерах должностных окладов в двух пунктах положения, а также уточнить в проекте штатного расписания размеры коэффициентов по отдельным должностям.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06.11.2020 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постановления Администрации «О внесении изменений в положение об оплате труда работников, замещающих должности, не являющиеся должностями муниципальной службы, и вспомогательного персонала органов местного самоуправления муниципального образования». В ходе проведения экспертизы замечаний не установлено.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09.11.2020 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«Об утверждении Положения по оплате труда работников, замещающих должности, не являющиеся должностями муниципальной службы муниципального образования, и вспомогательного персонала органов муниципальной власти и иных органов». В итоговом Заключении отмечалось, что Положение должно быть утверждено правовым актом администрации, а не решением Думы в силу ст. 135 ТК РФ). Также отмечались замечания к дате вступления в силу Положения, размеры окладов предусматривать по имеющимся должностям, исключить слова «государственного органа Иркутской области», слова «органов муниципальной власти», «муниципальных органов» заменить словами «администрации». В части расчета потребности отмечалось, что в проекте штатного расписания следует указывать размер материальной помощи согласно Положения.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09.12.2020 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в структуру администрации. В Заключении отмечалось, что в финансово-экономическом обосновании отсутствует информация о наличии или отсутствии дополнительной потребности в связи с принятием решения, а также за счет каких источников планируется финансирование. Также в части подписания решения Думы слова «администрации» предлагалось исключить.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09.12.2020 </w:t>
      </w:r>
      <w:r w:rsidRPr="002A38D8">
        <w:rPr>
          <w:rFonts w:ascii="Palatino Linotype" w:hAnsi="Palatino Linotype"/>
          <w:color w:val="000000"/>
          <w:sz w:val="21"/>
          <w:szCs w:val="21"/>
        </w:rPr>
        <w:t xml:space="preserve">Проведена экспертиза постановления администрации «О внесении изменений и дополнений в положение об оплате труда работников, замещающих должности, не являющиеся должностями муниципальной службы и вспомогательного персонала». В Заключении отмечалось, что повышающий коэффициент к должностному окладу предусматривается в повышенном размере 35% по должности делопроизводитель в </w:t>
      </w:r>
      <w:r w:rsidRPr="002A38D8">
        <w:rPr>
          <w:rFonts w:ascii="Palatino Linotype" w:hAnsi="Palatino Linotype"/>
          <w:color w:val="000000"/>
          <w:sz w:val="21"/>
          <w:szCs w:val="21"/>
        </w:rPr>
        <w:lastRenderedPageBreak/>
        <w:t>нарушение Указа Губернатора Иркутской области от 22.09.2011г. № 246-уг (повышающий коэффициент по должности делопроизводитель не предусмотрен).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color w:val="000000"/>
          <w:sz w:val="21"/>
          <w:szCs w:val="21"/>
        </w:rPr>
        <w:t> 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color w:val="000000"/>
          <w:sz w:val="21"/>
          <w:szCs w:val="21"/>
        </w:rPr>
        <w:t> 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color w:val="000000"/>
          <w:sz w:val="21"/>
          <w:szCs w:val="21"/>
        </w:rPr>
        <w:t> 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i/>
          <w:iCs/>
          <w:color w:val="000000"/>
          <w:sz w:val="21"/>
          <w:szCs w:val="21"/>
        </w:rPr>
        <w:t>Обследование достоверности, полноты и соответствия нормативным требованиям составления и представления отчета об исполнении районного бюджета и  бюджетов муниципальных образований района за 1 квартал, полугодие, 9 месяцев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color w:val="000000"/>
          <w:sz w:val="21"/>
          <w:szCs w:val="21"/>
        </w:rPr>
        <w:t> 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31.08.2020 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Проведено обследование достоверности, полноты и соответствия нормативным требованиям составления и представления отчета об исполнении районного бюджета за 1 полугодие 2020 года. Установлены отдельные замечания к текстовым показателям отчетности, установлены нарушения п. 6, 68.1, 174 Инструкции 191н, п. 3 ст. 219 Бюджетного кодекса РФ (приняты денежные обязательства свыше лимитов бюджетных обязательств в сумме 1066492,51 руб.), ст. 34 Бюджетного кодекса РФ нарушение принципа эффективности  сумма 296114,9 руб. Указанные замечания предлагалось учесть при формировании отчета об исполнении бюджета за 9 месяцев 2020 года.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04.12.2020 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Проведено обследование достоверности, полноты и соответствия нормативным требованиям составления и представления отчета об исполнении районного бюджета за 9 месяцев 2020 года.  Установлены отдельные замечания к текстовым показателям отчетности, установлены нарушения ст. 34, п. 3 ст. 219 БК РФ. Указанные замечания предлагалось учесть при формировании отчета об исполнении бюджета за 2020 год.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color w:val="000000"/>
          <w:sz w:val="21"/>
          <w:szCs w:val="21"/>
        </w:rPr>
        <w:t> 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color w:val="000000"/>
          <w:sz w:val="21"/>
          <w:szCs w:val="21"/>
        </w:rPr>
        <w:t> 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i/>
          <w:iCs/>
          <w:color w:val="000000"/>
          <w:sz w:val="21"/>
          <w:szCs w:val="21"/>
        </w:rPr>
        <w:t>Экспертиза проектов муниципальных программ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color w:val="000000"/>
          <w:sz w:val="21"/>
          <w:szCs w:val="21"/>
        </w:rPr>
        <w:t> 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21.08.2020 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муниципальной программы «Обеспечение комплексных мер по гражданской обороне на 2021-2025 годы». Установлено, что в нарушение Положения о порядке разработки муниципальных программ (в редакции постановления № 450 от 24.12.2019г) отсутствует согласование проекта уполномоченными органами, уточнить цель муниципальной программы с учетом требований ст. 8 Федерального закона № 28-ФЗ. Отмечались замечания в части несоответствия отдельных задач, целевых показателей между разделами и приложениями проекта. Информация в разделах не в полной мере соответствует требованиям Положения. Отдельные разделы, приложения проекта муниципальной программы  не соответствуют  макету муниципальной программы. Не представлены расчеты и финансово-экономические обоснования ресурсного обеспечения проекта муниципальной программы. Установлен и другие замечания к отдельным показателям проекта муниципальной программы.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11.09.2020 </w:t>
      </w:r>
      <w:r w:rsidRPr="002A38D8">
        <w:rPr>
          <w:rFonts w:ascii="Palatino Linotype" w:hAnsi="Palatino Linotype"/>
          <w:color w:val="000000"/>
          <w:sz w:val="21"/>
          <w:szCs w:val="21"/>
        </w:rPr>
        <w:t xml:space="preserve">Проведена экспертиза проекта муниципальной программы «Создание благоприятных условий для обеспечения жизнедеятельности населения Усть-Удинского района» на 2021-2025 годы. Установлено, что в нарушение Положения о порядке разработки муниципальных программ (в редакции постановления № 450 от 24.12.2019г) отсутствует согласование проекта с юридическим отделом, не представлены документы, подтверждающие обоснованность финансово-экономических обоснований, Приложения к проекту муниципальной программы не соответствуют Положению,  паспорт проекта не соответствует Положению, разделы проекта муниципальной программы не в полной мере </w:t>
      </w:r>
      <w:r w:rsidRPr="002A38D8">
        <w:rPr>
          <w:rFonts w:ascii="Palatino Linotype" w:hAnsi="Palatino Linotype"/>
          <w:color w:val="000000"/>
          <w:sz w:val="21"/>
          <w:szCs w:val="21"/>
        </w:rPr>
        <w:lastRenderedPageBreak/>
        <w:t>содержат информацию, предусмотренную Положением. Также были установлены замечания к отдельным целевым показателям, проектам подпрограмм в части несоответствия данным проекта программы, подпрограмм либо требованиям Положения.   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22.09.2020 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муниципальной программы «Развитие культуры РМО «Усть-Удинский район» на 2021-2025 годы». Установлено, что проект представлен в нарушение сроков, установленных Положением о порядке разработки муниципальных программ (в редакции постановления № 450 от 24.12.2019г), отсутствуют документы, подтверждающие обоснованность финансово-экономических обоснований. Предлагалось проект муниципальной программы привести в соответствие с Положением, информация в некоторых разделах проекта муниципальной программы не отвечает требования Положения. Также установлены отдельные замечания о несоответствии целевых показателей, основных мероприятий между разделами и подпрограммами. В ряде случаев отсутствуют целевые показатели по подпрограммам.</w:t>
      </w:r>
    </w:p>
    <w:p w:rsidR="002A38D8" w:rsidRPr="002A38D8" w:rsidRDefault="002A38D8" w:rsidP="002A38D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A38D8">
        <w:rPr>
          <w:rFonts w:ascii="Palatino Linotype" w:hAnsi="Palatino Linotype"/>
          <w:b/>
          <w:bCs/>
          <w:color w:val="000000"/>
          <w:sz w:val="21"/>
          <w:szCs w:val="21"/>
        </w:rPr>
        <w:t>23.09.2020 </w:t>
      </w:r>
      <w:r w:rsidRPr="002A38D8">
        <w:rPr>
          <w:rFonts w:ascii="Palatino Linotype" w:hAnsi="Palatino Linotype"/>
          <w:color w:val="000000"/>
          <w:sz w:val="21"/>
          <w:szCs w:val="21"/>
        </w:rPr>
        <w:t>Проведена экспертиза проекта муниципальной программы «Создание благоприятных условии для обеспечения жизнедеятельности населения  Усть-Удинского района» на 2021-2025 годы. Указывалось о необходимости исключения информации в разделе 1 подпрограмм об объеме финансирования за счет средств районного и областного бюджетов, включать только данные предусмотренные действующим порядком осуществления бюджетных инвестиций.</w:t>
      </w:r>
    </w:p>
    <w:p w:rsidR="003E0016" w:rsidRPr="002A38D8" w:rsidRDefault="003E0016" w:rsidP="002A38D8">
      <w:bookmarkStart w:id="0" w:name="_GoBack"/>
      <w:bookmarkEnd w:id="0"/>
    </w:p>
    <w:sectPr w:rsidR="003E0016" w:rsidRPr="002A38D8" w:rsidSect="006F70CC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D4D"/>
    <w:rsid w:val="000F6A9F"/>
    <w:rsid w:val="00174DE6"/>
    <w:rsid w:val="001924B6"/>
    <w:rsid w:val="001F0D4D"/>
    <w:rsid w:val="001F5C96"/>
    <w:rsid w:val="00215EBF"/>
    <w:rsid w:val="002A38D8"/>
    <w:rsid w:val="002B5AA5"/>
    <w:rsid w:val="002E1509"/>
    <w:rsid w:val="002E3581"/>
    <w:rsid w:val="00380A89"/>
    <w:rsid w:val="003C7988"/>
    <w:rsid w:val="003E0016"/>
    <w:rsid w:val="003F5514"/>
    <w:rsid w:val="00426B7F"/>
    <w:rsid w:val="00525A60"/>
    <w:rsid w:val="005404D5"/>
    <w:rsid w:val="00566A93"/>
    <w:rsid w:val="00603816"/>
    <w:rsid w:val="00683D8C"/>
    <w:rsid w:val="006F70CC"/>
    <w:rsid w:val="00797E06"/>
    <w:rsid w:val="00AB3B44"/>
    <w:rsid w:val="00B30CFA"/>
    <w:rsid w:val="00C739E5"/>
    <w:rsid w:val="00D72AA2"/>
    <w:rsid w:val="00F27B71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300F11-4E99-4531-BB2E-594A11A8E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4DE6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Strong"/>
    <w:basedOn w:val="a0"/>
    <w:uiPriority w:val="22"/>
    <w:qFormat/>
    <w:rsid w:val="00174DE6"/>
    <w:rPr>
      <w:b/>
      <w:bCs/>
    </w:rPr>
  </w:style>
  <w:style w:type="character" w:styleId="a5">
    <w:name w:val="Hyperlink"/>
    <w:basedOn w:val="a0"/>
    <w:uiPriority w:val="99"/>
    <w:semiHidden/>
    <w:unhideWhenUsed/>
    <w:rsid w:val="00174DE6"/>
    <w:rPr>
      <w:color w:val="0000FF"/>
      <w:u w:val="single"/>
    </w:rPr>
  </w:style>
  <w:style w:type="character" w:styleId="a6">
    <w:name w:val="Emphasis"/>
    <w:basedOn w:val="a0"/>
    <w:uiPriority w:val="20"/>
    <w:qFormat/>
    <w:rsid w:val="001924B6"/>
    <w:rPr>
      <w:i/>
      <w:iCs/>
    </w:rPr>
  </w:style>
  <w:style w:type="paragraph" w:customStyle="1" w:styleId="consplusnonformat">
    <w:name w:val="consplusnonformat"/>
    <w:basedOn w:val="a"/>
    <w:rsid w:val="006F70CC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0056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5397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1843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4644</Words>
  <Characters>26475</Characters>
  <Application>Microsoft Office Word</Application>
  <DocSecurity>0</DocSecurity>
  <Lines>220</Lines>
  <Paragraphs>62</Paragraphs>
  <ScaleCrop>false</ScaleCrop>
  <Company>diakov.net</Company>
  <LinksUpToDate>false</LinksUpToDate>
  <CharactersWithSpaces>31057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26</cp:revision>
  <dcterms:created xsi:type="dcterms:W3CDTF">2021-08-10T02:26:00Z</dcterms:created>
  <dcterms:modified xsi:type="dcterms:W3CDTF">2021-08-10T02:59:00Z</dcterms:modified>
</cp:coreProperties>
</file>