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x14="http://schemas.microsoft.com/office/spreadsheetml/2009/9/main" xmlns:xdr="http://schemas.openxmlformats.org/drawingml/2006/spreadsheetDrawing" mc:Ignorable="co w14 x14 w15">
  <w:body>
    <w:p w14:paraId="01000000">
      <w:pPr>
        <w:spacing w:after="0" w:line="240" w:lineRule="auto"/>
        <w:ind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03.03</w:t>
      </w:r>
      <w:r>
        <w:rPr>
          <w:rFonts w:ascii="Times New Roman" w:hAnsi="Times New Roman"/>
          <w:b w:val="1"/>
          <w:color w:val="000000"/>
          <w:sz w:val="24"/>
        </w:rPr>
        <w:t>.2025</w:t>
      </w:r>
    </w:p>
    <w:p w14:paraId="02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Информационное сообщение</w:t>
      </w:r>
    </w:p>
    <w:p w14:paraId="03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отдела работы с налогоплательщиками</w:t>
      </w:r>
    </w:p>
    <w:p w14:paraId="04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                                 </w:t>
      </w:r>
      <w:r>
        <w:rPr>
          <w:rFonts w:ascii="Times New Roman" w:hAnsi="Times New Roman"/>
          <w:b w:val="1"/>
          <w:sz w:val="24"/>
        </w:rPr>
        <w:t>УФНС России по Иркутской области</w:t>
      </w:r>
    </w:p>
    <w:p w14:paraId="05000000">
      <w:pPr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</w:p>
    <w:p w14:paraId="06000000">
      <w:pPr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Более 600 </w:t>
      </w:r>
      <w:r>
        <w:rPr>
          <w:rFonts w:ascii="Times New Roman" w:hAnsi="Times New Roman"/>
          <w:b w:val="1"/>
          <w:sz w:val="24"/>
        </w:rPr>
        <w:t>майнеров</w:t>
      </w:r>
      <w:r>
        <w:rPr>
          <w:rFonts w:ascii="Times New Roman" w:hAnsi="Times New Roman"/>
          <w:b w:val="1"/>
          <w:sz w:val="24"/>
        </w:rPr>
        <w:t xml:space="preserve"> и операторов </w:t>
      </w:r>
      <w:r>
        <w:rPr>
          <w:rFonts w:ascii="Times New Roman" w:hAnsi="Times New Roman"/>
          <w:b w:val="1"/>
          <w:sz w:val="24"/>
        </w:rPr>
        <w:t>майнинговой</w:t>
      </w:r>
      <w:r>
        <w:rPr>
          <w:rFonts w:ascii="Times New Roman" w:hAnsi="Times New Roman"/>
          <w:b w:val="1"/>
          <w:sz w:val="24"/>
        </w:rPr>
        <w:t xml:space="preserve"> инфраструктуры уже легализовали свою деятельность</w:t>
      </w:r>
    </w:p>
    <w:p w14:paraId="07000000">
      <w:pPr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</w:p>
    <w:p w14:paraId="08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реестр лиц, осуществляющих </w:t>
      </w:r>
      <w:r>
        <w:rPr>
          <w:rFonts w:ascii="Times New Roman" w:hAnsi="Times New Roman"/>
          <w:sz w:val="24"/>
        </w:rPr>
        <w:t>майнинг</w:t>
      </w:r>
      <w:r>
        <w:rPr>
          <w:rFonts w:ascii="Times New Roman" w:hAnsi="Times New Roman"/>
          <w:sz w:val="24"/>
        </w:rPr>
        <w:t xml:space="preserve"> цифровой валюты, включено 518 </w:t>
      </w:r>
      <w:r>
        <w:rPr>
          <w:rFonts w:ascii="Times New Roman" w:hAnsi="Times New Roman"/>
          <w:sz w:val="24"/>
        </w:rPr>
        <w:t>майнеров</w:t>
      </w:r>
      <w:r>
        <w:rPr>
          <w:rFonts w:ascii="Times New Roman" w:hAnsi="Times New Roman"/>
          <w:sz w:val="24"/>
        </w:rPr>
        <w:t xml:space="preserve">, а в реестр операторов </w:t>
      </w:r>
      <w:r>
        <w:rPr>
          <w:rFonts w:ascii="Times New Roman" w:hAnsi="Times New Roman"/>
          <w:sz w:val="24"/>
        </w:rPr>
        <w:t>майнинговой</w:t>
      </w:r>
      <w:r>
        <w:rPr>
          <w:rFonts w:ascii="Times New Roman" w:hAnsi="Times New Roman"/>
          <w:sz w:val="24"/>
        </w:rPr>
        <w:t xml:space="preserve"> инфраструктуры - 91 оператор. Реестры </w:t>
      </w:r>
      <w:r>
        <w:rPr>
          <w:rFonts w:ascii="Times New Roman" w:hAnsi="Times New Roman"/>
          <w:sz w:val="24"/>
        </w:rPr>
        <w:t>майнеров</w:t>
      </w:r>
      <w:r>
        <w:rPr>
          <w:rFonts w:ascii="Times New Roman" w:hAnsi="Times New Roman"/>
          <w:sz w:val="24"/>
        </w:rPr>
        <w:t xml:space="preserve"> и операторов </w:t>
      </w:r>
      <w:r>
        <w:rPr>
          <w:rFonts w:ascii="Times New Roman" w:hAnsi="Times New Roman"/>
          <w:sz w:val="24"/>
        </w:rPr>
        <w:t>майнинговой</w:t>
      </w:r>
      <w:r>
        <w:rPr>
          <w:rFonts w:ascii="Times New Roman" w:hAnsi="Times New Roman"/>
          <w:sz w:val="24"/>
        </w:rPr>
        <w:t xml:space="preserve"> инфраструктуры запущены 1 ноября 2024 года. Для включения в реестр достаточно направить электронное заявление через специальный сервис </w:t>
      </w:r>
      <w:r>
        <w:rPr>
          <w:rFonts w:ascii="Times New Roman" w:hAnsi="Times New Roman"/>
          <w:color w:val="216BEC"/>
          <w:sz w:val="24"/>
        </w:rPr>
        <w:t>Майнинг</w:t>
      </w:r>
      <w:r>
        <w:rPr>
          <w:rFonts w:ascii="Times New Roman" w:hAnsi="Times New Roman"/>
          <w:color w:val="216BEC"/>
          <w:sz w:val="24"/>
        </w:rPr>
        <w:t xml:space="preserve"> Реестр</w:t>
      </w:r>
      <w:r>
        <w:rPr>
          <w:rFonts w:ascii="Times New Roman" w:hAnsi="Times New Roman"/>
          <w:sz w:val="24"/>
        </w:rPr>
        <w:t xml:space="preserve"> на сайте ФНС России. Физические лица могут </w:t>
      </w:r>
      <w:r>
        <w:rPr>
          <w:rFonts w:ascii="Times New Roman" w:hAnsi="Times New Roman"/>
          <w:sz w:val="24"/>
        </w:rPr>
        <w:t>майнить</w:t>
      </w:r>
      <w:r>
        <w:rPr>
          <w:rFonts w:ascii="Times New Roman" w:hAnsi="Times New Roman"/>
          <w:sz w:val="24"/>
        </w:rPr>
        <w:t xml:space="preserve"> цифровую валюту в пределах 6000 киловатт-часов в месяц без включения в реестр.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Вместе с тем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всем </w:t>
      </w:r>
      <w:r>
        <w:rPr>
          <w:rFonts w:ascii="Times New Roman" w:hAnsi="Times New Roman"/>
          <w:sz w:val="24"/>
        </w:rPr>
        <w:t>майнерам</w:t>
      </w:r>
      <w:r>
        <w:rPr>
          <w:rFonts w:ascii="Times New Roman" w:hAnsi="Times New Roman"/>
          <w:sz w:val="24"/>
        </w:rPr>
        <w:t xml:space="preserve"> (физические лица, индивидуальные предприниматели, юридические лица) необходимо ежемесячно отчитываться о </w:t>
      </w:r>
      <w:r>
        <w:rPr>
          <w:rFonts w:ascii="Times New Roman" w:hAnsi="Times New Roman"/>
          <w:sz w:val="24"/>
        </w:rPr>
        <w:t>намайненной</w:t>
      </w:r>
      <w:r>
        <w:rPr>
          <w:rFonts w:ascii="Times New Roman" w:hAnsi="Times New Roman"/>
          <w:sz w:val="24"/>
        </w:rPr>
        <w:t xml:space="preserve"> цифровой валюте через специальный раздел в личных кабинетах для </w:t>
      </w:r>
      <w:r>
        <w:rPr>
          <w:rFonts w:ascii="Times New Roman" w:hAnsi="Times New Roman"/>
          <w:color w:val="216BEC"/>
          <w:sz w:val="24"/>
        </w:rPr>
        <w:t>физического лица</w:t>
      </w:r>
      <w:r>
        <w:rPr>
          <w:rFonts w:ascii="Times New Roman" w:hAnsi="Times New Roman"/>
          <w:sz w:val="24"/>
        </w:rPr>
        <w:t xml:space="preserve">, для </w:t>
      </w:r>
      <w:r>
        <w:rPr>
          <w:rFonts w:ascii="Times New Roman" w:hAnsi="Times New Roman"/>
          <w:color w:val="216BEC"/>
          <w:sz w:val="24"/>
        </w:rPr>
        <w:t>юридического лица</w:t>
      </w:r>
      <w:r>
        <w:rPr>
          <w:rFonts w:ascii="Times New Roman" w:hAnsi="Times New Roman"/>
          <w:sz w:val="24"/>
        </w:rPr>
        <w:t xml:space="preserve">, для </w:t>
      </w:r>
      <w:r>
        <w:rPr>
          <w:rFonts w:ascii="Times New Roman" w:hAnsi="Times New Roman"/>
          <w:color w:val="216BEC"/>
          <w:sz w:val="24"/>
        </w:rPr>
        <w:t>индивидуального предпринимателя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Включение в указанные реестры, а также представление отчетности о </w:t>
      </w:r>
      <w:r>
        <w:rPr>
          <w:rFonts w:ascii="Times New Roman" w:hAnsi="Times New Roman"/>
          <w:sz w:val="24"/>
        </w:rPr>
        <w:t>намайненной</w:t>
      </w:r>
      <w:r>
        <w:rPr>
          <w:rFonts w:ascii="Times New Roman" w:hAnsi="Times New Roman"/>
          <w:sz w:val="24"/>
        </w:rPr>
        <w:t xml:space="preserve"> цифровой валюте позволят </w:t>
      </w:r>
      <w:r>
        <w:rPr>
          <w:rFonts w:ascii="Times New Roman" w:hAnsi="Times New Roman"/>
          <w:sz w:val="24"/>
        </w:rPr>
        <w:t>майнерам</w:t>
      </w:r>
      <w:r>
        <w:rPr>
          <w:rFonts w:ascii="Times New Roman" w:hAnsi="Times New Roman"/>
          <w:sz w:val="24"/>
        </w:rPr>
        <w:t xml:space="preserve"> безопасно вести деятельность.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С более подробной информацией о включении в реестры </w:t>
      </w:r>
      <w:r>
        <w:rPr>
          <w:rFonts w:ascii="Times New Roman" w:hAnsi="Times New Roman"/>
          <w:sz w:val="24"/>
        </w:rPr>
        <w:t>майнеров</w:t>
      </w:r>
      <w:r>
        <w:rPr>
          <w:rFonts w:ascii="Times New Roman" w:hAnsi="Times New Roman"/>
          <w:sz w:val="24"/>
        </w:rPr>
        <w:t xml:space="preserve"> и операторов </w:t>
      </w:r>
      <w:r>
        <w:rPr>
          <w:rFonts w:ascii="Times New Roman" w:hAnsi="Times New Roman"/>
          <w:sz w:val="24"/>
        </w:rPr>
        <w:t>майнинговой</w:t>
      </w:r>
      <w:r>
        <w:rPr>
          <w:rFonts w:ascii="Times New Roman" w:hAnsi="Times New Roman"/>
          <w:sz w:val="24"/>
        </w:rPr>
        <w:t xml:space="preserve"> инфраструктуры, предоставлении отчетов о </w:t>
      </w:r>
      <w:r>
        <w:rPr>
          <w:rFonts w:ascii="Times New Roman" w:hAnsi="Times New Roman"/>
          <w:sz w:val="24"/>
        </w:rPr>
        <w:t>намайненной</w:t>
      </w:r>
      <w:r>
        <w:rPr>
          <w:rFonts w:ascii="Times New Roman" w:hAnsi="Times New Roman"/>
          <w:sz w:val="24"/>
        </w:rPr>
        <w:t xml:space="preserve"> цифровой валюте, уплате налогов можно ознакомиться в специальном разделе сайта ФНС России по </w:t>
      </w:r>
      <w:r>
        <w:rPr>
          <w:rFonts w:ascii="Times New Roman" w:hAnsi="Times New Roman"/>
          <w:color w:val="216BEC"/>
          <w:sz w:val="24"/>
        </w:rPr>
        <w:t>ссылке</w:t>
      </w:r>
      <w:r>
        <w:rPr>
          <w:rFonts w:ascii="Times New Roman" w:hAnsi="Times New Roman"/>
          <w:sz w:val="24"/>
        </w:rPr>
        <w:t>.</w:t>
      </w:r>
    </w:p>
    <w:p w14:paraId="09000000">
      <w:pPr>
        <w:spacing w:after="0" w:line="240" w:lineRule="auto"/>
        <w:ind/>
        <w:jc w:val="both"/>
        <w:rPr>
          <w:rFonts w:ascii="Times New Roman" w:hAnsi="Times New Roman"/>
          <w:color w:val="0070C0"/>
          <w:sz w:val="20"/>
          <w:u w:val="single"/>
        </w:rPr>
      </w:pPr>
      <w:bookmarkStart w:id="1" w:name="_GoBack"/>
      <w:bookmarkEnd w:id="1"/>
      <w:r>
        <w:rPr>
          <w:rStyle w:val="Style_1_ch"/>
        </w:rPr>
        <w:fldChar w:fldCharType="begin"/>
      </w:r>
      <w:r>
        <w:rPr>
          <w:rStyle w:val="Style_1_ch"/>
        </w:rPr>
        <w:instrText>HYPERLINK "https://rmo.nalog.gov.ru/rmo/index.html"</w:instrText>
      </w:r>
      <w:r>
        <w:rPr>
          <w:rStyle w:val="Style_1_ch"/>
        </w:rPr>
        <w:fldChar w:fldCharType="separate"/>
      </w:r>
      <w:r>
        <w:rPr>
          <w:rStyle w:val="Style_1_ch"/>
        </w:rPr>
        <w:t>https://rmo.nalog.gov.ru/rmo/index.html</w:t>
      </w:r>
      <w:r>
        <w:rPr>
          <w:rStyle w:val="Style_1_ch"/>
        </w:rPr>
        <w:fldChar w:fldCharType="end"/>
      </w:r>
    </w:p>
    <w:p w14:paraId="0A000000">
      <w:pPr>
        <w:spacing w:after="0" w:line="240" w:lineRule="auto"/>
        <w:ind/>
        <w:jc w:val="both"/>
        <w:rPr>
          <w:rFonts w:ascii="Times New Roman" w:hAnsi="Times New Roman"/>
          <w:color w:val="0070C0"/>
          <w:sz w:val="20"/>
          <w:u w:val="single"/>
        </w:rPr>
      </w:pPr>
      <w:r>
        <w:rPr>
          <w:rStyle w:val="Style_1_ch"/>
        </w:rPr>
        <w:fldChar w:fldCharType="begin"/>
      </w:r>
      <w:r>
        <w:rPr>
          <w:rStyle w:val="Style_1_ch"/>
        </w:rPr>
        <w:instrText>HYPERLINK "https://lkfl2.nalog.ru/lkfl"</w:instrText>
      </w:r>
      <w:r>
        <w:rPr>
          <w:rStyle w:val="Style_1_ch"/>
        </w:rPr>
        <w:fldChar w:fldCharType="separate"/>
      </w:r>
      <w:r>
        <w:rPr>
          <w:rStyle w:val="Style_1_ch"/>
        </w:rPr>
        <w:t>https://lkfl2.nalog.ru/lkfl</w:t>
      </w:r>
      <w:r>
        <w:rPr>
          <w:rStyle w:val="Style_1_ch"/>
        </w:rPr>
        <w:fldChar w:fldCharType="end"/>
      </w:r>
    </w:p>
    <w:p w14:paraId="0B000000">
      <w:pPr>
        <w:spacing w:after="0" w:line="240" w:lineRule="auto"/>
        <w:ind/>
        <w:jc w:val="both"/>
        <w:rPr>
          <w:rFonts w:ascii="Times New Roman" w:hAnsi="Times New Roman"/>
          <w:color w:val="0070C0"/>
          <w:sz w:val="20"/>
          <w:u w:val="single"/>
        </w:rPr>
      </w:pPr>
      <w:r>
        <w:rPr>
          <w:rStyle w:val="Style_1_ch"/>
        </w:rPr>
        <w:fldChar w:fldCharType="begin"/>
      </w:r>
      <w:r>
        <w:rPr>
          <w:rStyle w:val="Style_1_ch"/>
        </w:rPr>
        <w:instrText>HYPERLINK "https://lkul.nalog.ru/"</w:instrText>
      </w:r>
      <w:r>
        <w:rPr>
          <w:rStyle w:val="Style_1_ch"/>
        </w:rPr>
        <w:fldChar w:fldCharType="separate"/>
      </w:r>
      <w:r>
        <w:rPr>
          <w:rStyle w:val="Style_1_ch"/>
        </w:rPr>
        <w:t>https://lkul.nalog.ru/</w:t>
      </w:r>
      <w:r>
        <w:rPr>
          <w:rStyle w:val="Style_1_ch"/>
        </w:rPr>
        <w:fldChar w:fldCharType="end"/>
      </w:r>
    </w:p>
    <w:p w14:paraId="0C000000">
      <w:pPr>
        <w:spacing w:after="0" w:line="240" w:lineRule="auto"/>
        <w:ind/>
        <w:jc w:val="both"/>
        <w:rPr>
          <w:rFonts w:ascii="Times New Roman" w:hAnsi="Times New Roman"/>
          <w:color w:val="0070C0"/>
          <w:sz w:val="20"/>
          <w:u w:val="single"/>
        </w:rPr>
      </w:pPr>
      <w:r>
        <w:rPr>
          <w:rStyle w:val="Style_1_ch"/>
        </w:rPr>
        <w:fldChar w:fldCharType="begin"/>
      </w:r>
      <w:r>
        <w:rPr>
          <w:rStyle w:val="Style_1_ch"/>
        </w:rPr>
        <w:instrText>HYPERLINK "https://lkip2.nalog.ru/lk#/login"</w:instrText>
      </w:r>
      <w:r>
        <w:rPr>
          <w:rStyle w:val="Style_1_ch"/>
        </w:rPr>
        <w:fldChar w:fldCharType="separate"/>
      </w:r>
      <w:r>
        <w:rPr>
          <w:rStyle w:val="Style_1_ch"/>
        </w:rPr>
        <w:t>https://lkip2.nalog.ru/lk#/login</w:t>
      </w:r>
      <w:r>
        <w:rPr>
          <w:rStyle w:val="Style_1_ch"/>
        </w:rPr>
        <w:fldChar w:fldCharType="end"/>
      </w:r>
    </w:p>
    <w:p w14:paraId="0D000000">
      <w:pPr>
        <w:spacing w:after="0" w:line="240" w:lineRule="auto"/>
        <w:ind/>
        <w:jc w:val="both"/>
        <w:rPr>
          <w:rFonts w:ascii="Times New Roman" w:hAnsi="Times New Roman"/>
          <w:color w:val="0070C0"/>
          <w:sz w:val="20"/>
          <w:u w:val="single"/>
        </w:rPr>
      </w:pPr>
      <w:r>
        <w:rPr>
          <w:rStyle w:val="Style_1_ch"/>
        </w:rPr>
        <w:fldChar w:fldCharType="begin"/>
      </w:r>
      <w:r>
        <w:rPr>
          <w:rStyle w:val="Style_1_ch"/>
        </w:rPr>
        <w:instrText>HYPERLINK "https://www.nalog.gov.ru/rn38/promo/mining/"</w:instrText>
      </w:r>
      <w:r>
        <w:rPr>
          <w:rStyle w:val="Style_1_ch"/>
        </w:rPr>
        <w:fldChar w:fldCharType="separate"/>
      </w:r>
      <w:r>
        <w:rPr>
          <w:rStyle w:val="Style_1_ch"/>
        </w:rPr>
        <w:t>https://www.nalog.gov.ru/rn38/promo/mining/</w:t>
      </w:r>
      <w:r>
        <w:rPr>
          <w:rStyle w:val="Style_1_ch"/>
        </w:rPr>
        <w:fldChar w:fldCharType="end"/>
      </w:r>
    </w:p>
    <w:p w14:paraId="0E000000">
      <w:pPr>
        <w:spacing w:after="0" w:line="240" w:lineRule="auto"/>
        <w:ind/>
        <w:jc w:val="both"/>
        <w:rPr>
          <w:rFonts w:ascii="Times New Roman" w:hAnsi="Times New Roman"/>
          <w:color w:val="0070C0"/>
          <w:sz w:val="20"/>
          <w:u w:val="single"/>
        </w:rPr>
      </w:pPr>
    </w:p>
    <w:sectPr>
      <w:pgSz w:h="16838" w:w="11906"/>
      <w:pgMar w:bottom="0" w:footer="708" w:gutter="0" w:header="708" w:left="1701" w:right="850" w:top="56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x14="http://schemas.microsoft.com/office/spreadsheetml/2009/9/main" xmlns:xdr="http://schemas.openxmlformats.org/drawingml/2006/spreadsheetDrawing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x14="http://schemas.microsoft.com/office/spreadsheetml/2009/9/main" xmlns:xdr="http://schemas.openxmlformats.org/drawingml/2006/spreadsheetDrawing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</w:pPr>
  </w:style>
  <w:style w:styleId="Style_3_ch" w:type="character">
    <w:name w:val="toc 2"/>
    <w:link w:val="Style_3"/>
  </w:style>
  <w:style w:styleId="Style_4" w:type="paragraph">
    <w:name w:val="toc 4"/>
    <w:next w:val="Style_2"/>
    <w:link w:val="Style_4_ch"/>
    <w:uiPriority w:val="39"/>
    <w:pPr>
      <w:ind w:firstLine="0" w:left="600"/>
    </w:pPr>
  </w:style>
  <w:style w:styleId="Style_4_ch" w:type="character">
    <w:name w:val="toc 4"/>
    <w:link w:val="Style_4"/>
  </w:style>
  <w:style w:styleId="Style_5" w:type="paragraph">
    <w:name w:val="toc 6"/>
    <w:next w:val="Style_2"/>
    <w:link w:val="Style_5_ch"/>
    <w:uiPriority w:val="39"/>
    <w:pPr>
      <w:ind w:firstLine="0" w:left="1000"/>
    </w:pPr>
  </w:style>
  <w:style w:styleId="Style_5_ch" w:type="character">
    <w:name w:val="toc 6"/>
    <w:link w:val="Style_5"/>
  </w:style>
  <w:style w:styleId="Style_6" w:type="paragraph">
    <w:name w:val="toc 7"/>
    <w:next w:val="Style_2"/>
    <w:link w:val="Style_6_ch"/>
    <w:uiPriority w:val="39"/>
    <w:pPr>
      <w:ind w:firstLine="0" w:left="1200"/>
    </w:pPr>
  </w:style>
  <w:style w:styleId="Style_6_ch" w:type="character">
    <w:name w:val="toc 7"/>
    <w:link w:val="Style_6"/>
  </w:style>
  <w:style w:styleId="Style_7" w:type="paragraph">
    <w:name w:val="Гиперссылка1"/>
    <w:basedOn w:val="Style_8"/>
    <w:link w:val="Style_7_ch"/>
    <w:rPr>
      <w:color w:themeColor="hyperlink" w:val="000000"/>
      <w:u w:val="single"/>
    </w:rPr>
  </w:style>
  <w:style w:styleId="Style_7_ch" w:type="character">
    <w:name w:val="Гиперссылка1"/>
    <w:basedOn w:val="Style_8_ch"/>
    <w:link w:val="Style_7"/>
    <w:rPr>
      <w:color w:themeColor="hyperlink" w:val="000000"/>
      <w:u w:val="single"/>
    </w:rPr>
  </w:style>
  <w:style w:styleId="Style_9" w:type="paragraph">
    <w:name w:val="heading 3"/>
    <w:next w:val="Style_2"/>
    <w:link w:val="Style_9_ch"/>
    <w:uiPriority w:val="9"/>
    <w:qFormat/>
    <w:pPr>
      <w:ind/>
      <w:outlineLvl w:val="2"/>
    </w:pPr>
    <w:rPr>
      <w:rFonts w:ascii="XO Thames" w:hAnsi="XO Thames"/>
      <w:b w:val="1"/>
      <w:i w:val="1"/>
    </w:rPr>
  </w:style>
  <w:style w:styleId="Style_9_ch" w:type="character">
    <w:name w:val="heading 3"/>
    <w:link w:val="Style_9"/>
    <w:rPr>
      <w:rFonts w:ascii="XO Thames" w:hAnsi="XO Thames"/>
      <w:b w:val="1"/>
      <w:i w:val="1"/>
    </w:rPr>
  </w:style>
  <w:style w:styleId="Style_10" w:type="paragraph">
    <w:name w:val="resh-link"/>
    <w:basedOn w:val="Style_8"/>
    <w:link w:val="Style_10_ch"/>
  </w:style>
  <w:style w:styleId="Style_10_ch" w:type="character">
    <w:name w:val="resh-link"/>
    <w:basedOn w:val="Style_8_ch"/>
    <w:link w:val="Style_10"/>
  </w:style>
  <w:style w:styleId="Style_11" w:type="paragraph">
    <w:name w:val="Default"/>
    <w:link w:val="Style_11_ch"/>
    <w:pPr>
      <w:spacing w:after="0" w:line="240" w:lineRule="auto"/>
      <w:ind/>
    </w:pPr>
    <w:rPr>
      <w:rFonts w:ascii="Times New Roman" w:hAnsi="Times New Roman"/>
      <w:sz w:val="24"/>
    </w:rPr>
  </w:style>
  <w:style w:styleId="Style_11_ch" w:type="character">
    <w:name w:val="Default"/>
    <w:link w:val="Style_11"/>
    <w:rPr>
      <w:rFonts w:ascii="Times New Roman" w:hAnsi="Times New Roman"/>
      <w:sz w:val="24"/>
    </w:rPr>
  </w:style>
  <w:style w:styleId="Style_12" w:type="paragraph">
    <w:name w:val="Знак Знак Знак Знак"/>
    <w:basedOn w:val="Style_2"/>
    <w:link w:val="Style_12_ch"/>
    <w:pPr>
      <w:spacing w:after="160" w:line="240" w:lineRule="exact"/>
      <w:ind/>
    </w:pPr>
    <w:rPr>
      <w:rFonts w:ascii="Verdana" w:hAnsi="Verdana"/>
      <w:sz w:val="24"/>
    </w:rPr>
  </w:style>
  <w:style w:styleId="Style_12_ch" w:type="character">
    <w:name w:val="Знак Знак Знак Знак"/>
    <w:basedOn w:val="Style_2_ch"/>
    <w:link w:val="Style_12"/>
    <w:rPr>
      <w:rFonts w:ascii="Verdana" w:hAnsi="Verdana"/>
      <w:sz w:val="24"/>
    </w:rPr>
  </w:style>
  <w:style w:styleId="Style_13" w:type="paragraph">
    <w:name w:val="toc 3"/>
    <w:next w:val="Style_2"/>
    <w:link w:val="Style_13_ch"/>
    <w:uiPriority w:val="39"/>
    <w:pPr>
      <w:ind w:firstLine="0" w:left="400"/>
    </w:pPr>
  </w:style>
  <w:style w:styleId="Style_13_ch" w:type="character">
    <w:name w:val="toc 3"/>
    <w:link w:val="Style_13"/>
  </w:style>
  <w:style w:styleId="Style_14" w:type="paragraph">
    <w:name w:val="Гиперссылка1"/>
    <w:link w:val="Style_14_ch"/>
    <w:pPr>
      <w:spacing w:after="0" w:line="240" w:lineRule="auto"/>
      <w:ind/>
    </w:pPr>
    <w:rPr>
      <w:rFonts w:ascii="Times New Roman" w:hAnsi="Times New Roman"/>
      <w:color w:val="000080"/>
      <w:sz w:val="20"/>
      <w:u w:val="single"/>
    </w:rPr>
  </w:style>
  <w:style w:styleId="Style_14_ch" w:type="character">
    <w:name w:val="Гиперссылка1"/>
    <w:link w:val="Style_14"/>
    <w:rPr>
      <w:rFonts w:ascii="Times New Roman" w:hAnsi="Times New Roman"/>
      <w:color w:val="000080"/>
      <w:sz w:val="20"/>
      <w:u w:val="single"/>
    </w:rPr>
  </w:style>
  <w:style w:styleId="Style_15" w:type="paragraph">
    <w:name w:val="heading 5"/>
    <w:next w:val="Style_2"/>
    <w:link w:val="Style_15_ch"/>
    <w:uiPriority w:val="9"/>
    <w:qFormat/>
    <w:pPr>
      <w:spacing w:after="120" w:before="120"/>
      <w:ind/>
      <w:outlineLvl w:val="4"/>
    </w:pPr>
    <w:rPr>
      <w:rFonts w:ascii="XO Thames" w:hAnsi="XO Thames"/>
      <w:b w:val="1"/>
    </w:rPr>
  </w:style>
  <w:style w:styleId="Style_15_ch" w:type="character">
    <w:name w:val="heading 5"/>
    <w:link w:val="Style_15"/>
    <w:rPr>
      <w:rFonts w:ascii="XO Thames" w:hAnsi="XO Thames"/>
      <w:b w:val="1"/>
    </w:rPr>
  </w:style>
  <w:style w:styleId="Style_16" w:type="paragraph">
    <w:name w:val="heading 1"/>
    <w:next w:val="Style_2"/>
    <w:link w:val="Style_16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" w:type="paragraph">
    <w:name w:val="Hyperlink"/>
    <w:link w:val="Style_1_ch"/>
    <w:rPr>
      <w:color w:val="0000FF"/>
      <w:u w:val="single"/>
    </w:rPr>
  </w:style>
  <w:style w:styleId="Style_1_ch" w:type="character">
    <w:name w:val="Hyperlink"/>
    <w:link w:val="Style_1"/>
    <w:rPr>
      <w:color w:val="0000FF"/>
      <w:u w:val="single"/>
    </w:rPr>
  </w:style>
  <w:style w:styleId="Style_18" w:type="paragraph">
    <w:name w:val="Footnote"/>
    <w:link w:val="Style_18_ch"/>
    <w:rPr>
      <w:rFonts w:ascii="XO Thames" w:hAnsi="XO Thames"/>
    </w:rPr>
  </w:style>
  <w:style w:styleId="Style_18_ch" w:type="character">
    <w:name w:val="Footnote"/>
    <w:link w:val="Style_18"/>
    <w:rPr>
      <w:rFonts w:ascii="XO Thames" w:hAnsi="XO Thames"/>
    </w:rPr>
  </w:style>
  <w:style w:styleId="Style_19" w:type="paragraph">
    <w:name w:val="toc 1"/>
    <w:next w:val="Style_2"/>
    <w:link w:val="Style_19_ch"/>
    <w:uiPriority w:val="39"/>
    <w:rPr>
      <w:rFonts w:ascii="XO Thames" w:hAnsi="XO Thames"/>
      <w:b w:val="1"/>
    </w:rPr>
  </w:style>
  <w:style w:styleId="Style_19_ch" w:type="character">
    <w:name w:val="toc 1"/>
    <w:link w:val="Style_19"/>
    <w:rPr>
      <w:rFonts w:ascii="XO Thames" w:hAnsi="XO Thames"/>
      <w:b w:val="1"/>
    </w:rPr>
  </w:style>
  <w:style w:styleId="Style_20" w:type="paragraph">
    <w:name w:val="Header and Footer"/>
    <w:link w:val="Style_20_ch"/>
    <w:pPr>
      <w:spacing w:line="360" w:lineRule="auto"/>
      <w:ind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8" w:type="paragraph">
    <w:name w:val="Основной шрифт абзаца1"/>
    <w:link w:val="Style_8_ch"/>
  </w:style>
  <w:style w:styleId="Style_8_ch" w:type="character">
    <w:name w:val="Основной шрифт абзаца1"/>
    <w:link w:val="Style_8"/>
  </w:style>
  <w:style w:styleId="Style_21" w:type="paragraph">
    <w:name w:val="Balloon Text"/>
    <w:basedOn w:val="Style_2"/>
    <w:link w:val="Style_21_ch"/>
    <w:pPr>
      <w:spacing w:after="0" w:line="240" w:lineRule="auto"/>
      <w:ind/>
    </w:pPr>
    <w:rPr>
      <w:rFonts w:ascii="Tahoma" w:hAnsi="Tahoma"/>
      <w:sz w:val="16"/>
    </w:rPr>
  </w:style>
  <w:style w:styleId="Style_21_ch" w:type="character">
    <w:name w:val="Balloon Text"/>
    <w:basedOn w:val="Style_2_ch"/>
    <w:link w:val="Style_21"/>
    <w:rPr>
      <w:rFonts w:ascii="Tahoma" w:hAnsi="Tahoma"/>
      <w:sz w:val="16"/>
    </w:rPr>
  </w:style>
  <w:style w:styleId="Style_22" w:type="paragraph">
    <w:name w:val="Обычный1"/>
    <w:link w:val="Style_22_ch"/>
  </w:style>
  <w:style w:styleId="Style_22_ch" w:type="character">
    <w:name w:val="Обычный1"/>
    <w:link w:val="Style_22"/>
  </w:style>
  <w:style w:styleId="Style_23" w:type="paragraph">
    <w:name w:val="toc 9"/>
    <w:next w:val="Style_2"/>
    <w:link w:val="Style_23_ch"/>
    <w:uiPriority w:val="39"/>
    <w:pPr>
      <w:ind w:firstLine="0" w:left="1600"/>
    </w:pPr>
  </w:style>
  <w:style w:styleId="Style_23_ch" w:type="character">
    <w:name w:val="toc 9"/>
    <w:link w:val="Style_23"/>
  </w:style>
  <w:style w:styleId="Style_24" w:type="paragraph">
    <w:name w:val="toc 8"/>
    <w:next w:val="Style_2"/>
    <w:link w:val="Style_24_ch"/>
    <w:uiPriority w:val="39"/>
    <w:pPr>
      <w:ind w:firstLine="0" w:left="1400"/>
    </w:pPr>
  </w:style>
  <w:style w:styleId="Style_24_ch" w:type="character">
    <w:name w:val="toc 8"/>
    <w:link w:val="Style_24"/>
  </w:style>
  <w:style w:styleId="Style_25" w:type="paragraph">
    <w:name w:val="toc 5"/>
    <w:next w:val="Style_2"/>
    <w:link w:val="Style_25_ch"/>
    <w:uiPriority w:val="39"/>
    <w:pPr>
      <w:ind w:firstLine="0" w:left="800"/>
    </w:pPr>
  </w:style>
  <w:style w:styleId="Style_25_ch" w:type="character">
    <w:name w:val="toc 5"/>
    <w:link w:val="Style_25"/>
  </w:style>
  <w:style w:styleId="Style_26" w:type="paragraph">
    <w:name w:val="Normal (Web)"/>
    <w:basedOn w:val="Style_2"/>
    <w:link w:val="Style_26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6_ch" w:type="character">
    <w:name w:val="Normal (Web)"/>
    <w:basedOn w:val="Style_2_ch"/>
    <w:link w:val="Style_26"/>
    <w:rPr>
      <w:rFonts w:ascii="Times New Roman" w:hAnsi="Times New Roman"/>
      <w:sz w:val="24"/>
    </w:rPr>
  </w:style>
  <w:style w:styleId="Style_27" w:type="paragraph">
    <w:name w:val="Subtitle"/>
    <w:next w:val="Style_2"/>
    <w:link w:val="Style_27_ch"/>
    <w:uiPriority w:val="11"/>
    <w:qFormat/>
    <w:rPr>
      <w:rFonts w:ascii="XO Thames" w:hAnsi="XO Thames"/>
      <w:i w:val="1"/>
      <w:color w:val="616161"/>
      <w:sz w:val="24"/>
    </w:rPr>
  </w:style>
  <w:style w:styleId="Style_27_ch" w:type="character">
    <w:name w:val="Subtitle"/>
    <w:link w:val="Style_27"/>
    <w:rPr>
      <w:rFonts w:ascii="XO Thames" w:hAnsi="XO Thames"/>
      <w:i w:val="1"/>
      <w:color w:val="616161"/>
      <w:sz w:val="24"/>
    </w:rPr>
  </w:style>
  <w:style w:styleId="Style_28" w:type="paragraph">
    <w:name w:val="toc 10"/>
    <w:next w:val="Style_2"/>
    <w:link w:val="Style_28_ch"/>
    <w:uiPriority w:val="39"/>
    <w:pPr>
      <w:ind w:firstLine="0" w:left="1800"/>
    </w:pPr>
  </w:style>
  <w:style w:styleId="Style_28_ch" w:type="character">
    <w:name w:val="toc 10"/>
    <w:link w:val="Style_28"/>
  </w:style>
  <w:style w:styleId="Style_29" w:type="paragraph">
    <w:name w:val="Title"/>
    <w:next w:val="Style_2"/>
    <w:link w:val="Style_29_ch"/>
    <w:uiPriority w:val="10"/>
    <w:qFormat/>
    <w:rPr>
      <w:rFonts w:ascii="XO Thames" w:hAnsi="XO Thames"/>
      <w:b w:val="1"/>
      <w:sz w:val="52"/>
    </w:rPr>
  </w:style>
  <w:style w:styleId="Style_29_ch" w:type="character">
    <w:name w:val="Title"/>
    <w:link w:val="Style_29"/>
    <w:rPr>
      <w:rFonts w:ascii="XO Thames" w:hAnsi="XO Thames"/>
      <w:b w:val="1"/>
      <w:sz w:val="52"/>
    </w:rPr>
  </w:style>
  <w:style w:styleId="Style_30" w:type="paragraph">
    <w:name w:val="heading 4"/>
    <w:next w:val="Style_2"/>
    <w:link w:val="Style_30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30_ch" w:type="character">
    <w:name w:val="heading 4"/>
    <w:link w:val="Style_30"/>
    <w:rPr>
      <w:rFonts w:ascii="XO Thames" w:hAnsi="XO Thames"/>
      <w:b w:val="1"/>
      <w:color w:val="595959"/>
      <w:sz w:val="26"/>
    </w:rPr>
  </w:style>
  <w:style w:styleId="Style_31" w:type="paragraph">
    <w:name w:val="heading 2"/>
    <w:next w:val="Style_2"/>
    <w:link w:val="Style_31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31_ch" w:type="character">
    <w:name w:val="heading 2"/>
    <w:link w:val="Style_31"/>
    <w:rPr>
      <w:rFonts w:ascii="XO Thames" w:hAnsi="XO Thames"/>
      <w:b w:val="1"/>
      <w:color w:val="00A0FF"/>
      <w:sz w:val="26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x14="http://schemas.microsoft.com/office/spreadsheetml/2009/9/main" xmlns:xdr="http://schemas.openxmlformats.org/drawingml/2006/spreadsheetDrawing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%">
              <a:schemeClr val="phClr">
                <a:tint val="50%"/>
                <a:satMod val="300%"/>
              </a:schemeClr>
            </a:gs>
            <a:gs pos="35%">
              <a:schemeClr val="phClr">
                <a:tint val="37%"/>
                <a:satMod val="300%"/>
              </a:schemeClr>
            </a:gs>
            <a:gs pos="100%">
              <a:schemeClr val="phClr">
                <a:tint val="15%"/>
                <a:satMod val="350%"/>
              </a:schemeClr>
            </a:gs>
          </a:gsLst>
        </a:gradFill>
        <a:gradFill>
          <a:gsLst>
            <a:gs pos="0%">
              <a:schemeClr val="phClr">
                <a:shade val="51%"/>
                <a:satMod val="130%"/>
              </a:schemeClr>
            </a:gs>
            <a:gs pos="80%">
              <a:schemeClr val="phClr">
                <a:shade val="93%"/>
                <a:satMod val="130%"/>
              </a:schemeClr>
            </a:gs>
            <a:gs pos="100%">
              <a:schemeClr val="phClr">
                <a:shade val="94%"/>
                <a:satMod val="135%"/>
              </a:schemeClr>
            </a:gs>
          </a:gsLst>
        </a:gradFill>
      </a:fillStyleLst>
      <a:lnStyleLst>
        <a:ln w="9525">
          <a:solidFill>
            <a:schemeClr val="phClr">
              <a:shade val="95%"/>
              <a:satMod val="105%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%">
              <a:schemeClr val="phClr">
                <a:tint val="40%"/>
                <a:satMod val="350%"/>
              </a:schemeClr>
            </a:gs>
            <a:gs pos="40%">
              <a:schemeClr val="phClr">
                <a:tint val="45%"/>
                <a:shade val="99%"/>
                <a:satMod val="350%"/>
              </a:schemeClr>
            </a:gs>
            <a:gs pos="100%">
              <a:schemeClr val="phClr">
                <a:shade val="20%"/>
                <a:satMod val="255%"/>
              </a:schemeClr>
            </a:gs>
          </a:gsLst>
        </a:gradFill>
        <a:gradFill>
          <a:gsLst>
            <a:gs pos="0%">
              <a:schemeClr val="phClr">
                <a:tint val="80%"/>
                <a:satMod val="300%"/>
              </a:schemeClr>
            </a:gs>
            <a:gs pos="100%">
              <a:schemeClr val="phClr">
                <a:shade val="30%"/>
                <a:satMod val="200%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MyOffice-CoreFramework-Windows/17.2-694.174.3565.329.2@RELEASE-DESKTOP-PARSLEY-RC</Application>
</Properties>
</file>